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58413E">
        <w:rPr>
          <w:rFonts w:asciiTheme="minorHAnsi" w:hAnsiTheme="minorHAnsi" w:cstheme="minorHAnsi"/>
          <w:b/>
          <w:color w:val="000000" w:themeColor="text1"/>
          <w:sz w:val="28"/>
          <w:szCs w:val="28"/>
          <w:lang w:eastAsia="pl-PL"/>
        </w:rPr>
        <w:t>d</w:t>
      </w:r>
      <w:r w:rsidRPr="0058413E">
        <w:rPr>
          <w:rFonts w:asciiTheme="minorHAnsi" w:hAnsiTheme="minorHAnsi" w:cstheme="minorHAnsi"/>
          <w:b/>
          <w:color w:val="000000" w:themeColor="text1"/>
          <w:sz w:val="28"/>
          <w:szCs w:val="28"/>
          <w:lang w:eastAsia="pl-PL"/>
        </w:rPr>
        <w:t>ostawę, montaż i uruchomienie testera do badań elektrycznych 800 V oraz testera do badań elektrycznych 60 V.</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 kwiecień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Dane osobowe przetwarzane będą na podstawie art. 6 ust. 1 lit. c RODO w </w:t>
      </w:r>
      <w:r w:rsidRPr="0058413E">
        <w:rPr>
          <w:rFonts w:asciiTheme="minorHAnsi" w:hAnsiTheme="minorHAnsi" w:cstheme="minorHAnsi"/>
          <w:sz w:val="24"/>
          <w:szCs w:val="24"/>
        </w:rPr>
        <w:t xml:space="preserve">celu związanym </w:t>
      </w:r>
      <w:r w:rsidRPr="0058413E">
        <w:rPr>
          <w:rFonts w:asciiTheme="minorHAnsi" w:hAnsiTheme="minorHAnsi" w:cstheme="minorHAnsi"/>
          <w:sz w:val="24"/>
          <w:szCs w:val="24"/>
        </w:rPr>
        <w:t>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Rodzaj przedmiotu zamówienia: </w:t>
      </w:r>
      <w:r w:rsidRPr="0058413E">
        <w:rPr>
          <w:rFonts w:asciiTheme="minorHAnsi" w:eastAsia="Times New Roman" w:hAnsiTheme="minorHAnsi" w:cstheme="minorHAnsi"/>
          <w:b/>
          <w:color w:val="000000" w:themeColor="text1"/>
          <w:sz w:val="24"/>
          <w:szCs w:val="24"/>
          <w:lang w:eastAsia="pl-PL"/>
        </w:rPr>
        <w:t>dostawa</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Opis przedmiotu zamówienia</w:t>
      </w:r>
    </w:p>
    <w:p w:rsidR="0058413E" w:rsidRPr="0058413E"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58413E">
        <w:rPr>
          <w:rFonts w:asciiTheme="minorHAnsi" w:hAnsiTheme="minorHAnsi" w:cstheme="minorHAnsi"/>
          <w:sz w:val="24"/>
          <w:szCs w:val="24"/>
        </w:rPr>
        <w:t xml:space="preserve">Przedmiotem zamówienia są testery do badań elektrycznych 800 V oraz do badań elektrycznych 60 V, zwane w dalszej części SIWZ Stanowiskiem. </w:t>
      </w:r>
    </w:p>
    <w:p w:rsidR="0058413E" w:rsidRPr="0058413E"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58413E">
        <w:rPr>
          <w:rFonts w:asciiTheme="minorHAnsi" w:hAnsiTheme="minorHAnsi" w:cstheme="minorHAnsi"/>
          <w:sz w:val="24"/>
          <w:szCs w:val="24"/>
        </w:rPr>
        <w:t>Skład Stanowska powinien zawierać:</w:t>
      </w:r>
    </w:p>
    <w:p w:rsidR="0058413E" w:rsidRPr="0058413E"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58413E">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58413E"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58413E">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58413E" w:rsidRPr="0058413E" w:rsidRDefault="0058413E" w:rsidP="0058413E">
      <w:pPr>
        <w:widowControl w:val="0"/>
        <w:autoSpaceDE w:val="0"/>
        <w:autoSpaceDN w:val="0"/>
        <w:adjustRightInd w:val="0"/>
        <w:spacing w:line="240" w:lineRule="auto"/>
        <w:jc w:val="both"/>
        <w:rPr>
          <w:rFonts w:asciiTheme="minorHAnsi" w:hAnsiTheme="minorHAnsi" w:cstheme="minorHAnsi"/>
          <w:sz w:val="24"/>
          <w:szCs w:val="24"/>
        </w:rPr>
      </w:pPr>
    </w:p>
    <w:p w:rsidR="0058413E" w:rsidRPr="0058413E"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58413E">
        <w:rPr>
          <w:rFonts w:asciiTheme="minorHAnsi" w:hAnsiTheme="minorHAnsi" w:cstheme="minorHAnsi"/>
          <w:b/>
          <w:sz w:val="24"/>
          <w:szCs w:val="24"/>
        </w:rPr>
        <w:t xml:space="preserve">Stanowisko powinno zawierać: </w:t>
      </w:r>
    </w:p>
    <w:p w:rsidR="0058413E" w:rsidRPr="0058413E" w:rsidRDefault="0058413E" w:rsidP="0058413E">
      <w:pPr>
        <w:pStyle w:val="Akapitzlist"/>
        <w:numPr>
          <w:ilvl w:val="0"/>
          <w:numId w:val="28"/>
        </w:numPr>
        <w:spacing w:after="0"/>
        <w:contextualSpacing w:val="0"/>
        <w:jc w:val="both"/>
        <w:rPr>
          <w:rFonts w:cstheme="minorHAnsi"/>
          <w:bCs/>
          <w:sz w:val="24"/>
          <w:szCs w:val="24"/>
        </w:rPr>
      </w:pPr>
      <w:r w:rsidRPr="0058413E">
        <w:rPr>
          <w:rFonts w:cstheme="minorHAnsi"/>
          <w:bCs/>
          <w:sz w:val="24"/>
          <w:szCs w:val="24"/>
        </w:rPr>
        <w:t>Tester wyposażony w niezbędne do pracy akcesoria z możliwością przełączania zakresu pomiarowego 120 V – 800 V oraz w 2 obwody badawcze każdy z możliwością ustawienia natężenia prądu w zakresie 0 A ÷ 300 A. Konieczna możliwość połączenia równoległego obwodów badawczych.</w:t>
      </w:r>
    </w:p>
    <w:p w:rsidR="0058413E" w:rsidRPr="0058413E" w:rsidRDefault="0058413E" w:rsidP="0058413E">
      <w:pPr>
        <w:pStyle w:val="Akapitzlist"/>
        <w:numPr>
          <w:ilvl w:val="0"/>
          <w:numId w:val="28"/>
        </w:numPr>
        <w:spacing w:after="0"/>
        <w:contextualSpacing w:val="0"/>
        <w:jc w:val="both"/>
        <w:rPr>
          <w:rFonts w:cstheme="minorHAnsi"/>
          <w:bCs/>
          <w:sz w:val="24"/>
          <w:szCs w:val="24"/>
        </w:rPr>
      </w:pPr>
      <w:r w:rsidRPr="0058413E">
        <w:rPr>
          <w:rFonts w:cstheme="minorHAnsi"/>
          <w:bCs/>
          <w:sz w:val="24"/>
          <w:szCs w:val="24"/>
        </w:rPr>
        <w:lastRenderedPageBreak/>
        <w:t>Tester wyposażony w niezbędne do pracy akcesoria, min. 6 obwodów badawczych każdy z możliwością ustawienia natężenia prądu w zakresie 0 A ÷ 50 A. Konieczna możliwość połączenia równoległego obwodów badawczych.</w:t>
      </w:r>
    </w:p>
    <w:p w:rsidR="0058413E" w:rsidRPr="0058413E"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58413E"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hAnsiTheme="minorHAnsi" w:cstheme="minorHAnsi"/>
          <w:sz w:val="24"/>
          <w:szCs w:val="24"/>
        </w:rPr>
        <w:t>38540000 – 2 Maszyny i aparatura badawcza i pomiarowa</w:t>
      </w:r>
    </w:p>
    <w:p w:rsidR="0058413E" w:rsidRPr="0058413E"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w:t>
      </w:r>
      <w:r w:rsidRPr="0058413E">
        <w:rPr>
          <w:rFonts w:asciiTheme="minorHAnsi" w:eastAsia="Times New Roman" w:hAnsiTheme="minorHAnsi" w:cstheme="minorHAnsi"/>
          <w:sz w:val="24"/>
          <w:szCs w:val="24"/>
          <w:lang w:eastAsia="pl-PL"/>
        </w:rPr>
        <w:lastRenderedPageBreak/>
        <w:t xml:space="preserve">kalkulacji ceny oferty oraz do wykonania </w:t>
      </w:r>
      <w:r w:rsidRPr="0058413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58413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ab/>
        <w:t>Termin wykonania przedmiotu: do 31.12.2019r.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sytuacja ekonomiczna i finansowa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58413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58413E">
        <w:rPr>
          <w:rFonts w:asciiTheme="minorHAnsi" w:hAnsiTheme="minorHAnsi" w:cstheme="minorHAnsi"/>
          <w:sz w:val="24"/>
          <w:szCs w:val="24"/>
        </w:rPr>
        <w:t>urządzeń do badań elektrycznych</w:t>
      </w:r>
      <w:r w:rsidRPr="0058413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(składany razem z ofertą).</w:t>
      </w:r>
    </w:p>
    <w:p w:rsidR="0058413E" w:rsidRPr="0058413E" w:rsidRDefault="0058413E" w:rsidP="0058413E">
      <w:pPr>
        <w:spacing w:line="240" w:lineRule="auto"/>
        <w:jc w:val="both"/>
        <w:rPr>
          <w:rFonts w:asciiTheme="minorHAnsi" w:hAnsiTheme="minorHAnsi" w:cstheme="minorHAnsi"/>
          <w:color w:val="000000" w:themeColor="text1"/>
          <w:sz w:val="24"/>
          <w:szCs w:val="24"/>
        </w:rPr>
      </w:pPr>
    </w:p>
    <w:p w:rsidR="0058413E" w:rsidRPr="0058413E" w:rsidRDefault="0058413E" w:rsidP="0058413E">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wykazu wykonanych, a w przypadku świadczeń okresowych lub ciągłych również wykonywanych, </w:t>
      </w:r>
      <w:r w:rsidRPr="0058413E">
        <w:rPr>
          <w:rFonts w:asciiTheme="minorHAnsi" w:eastAsia="Times New Roman" w:hAnsiTheme="minorHAnsi" w:cstheme="minorHAnsi"/>
          <w:b/>
          <w:color w:val="000000" w:themeColor="text1"/>
          <w:sz w:val="24"/>
          <w:szCs w:val="24"/>
          <w:lang w:eastAsia="pl-PL"/>
        </w:rPr>
        <w:t>dostaw</w:t>
      </w:r>
      <w:r w:rsidRPr="0058413E">
        <w:rPr>
          <w:rFonts w:asciiTheme="minorHAnsi" w:eastAsia="Times New Roman" w:hAnsiTheme="minorHAnsi" w:cstheme="minorHAnsi"/>
          <w:b/>
          <w:bCs/>
          <w:color w:val="000000" w:themeColor="text1"/>
          <w:sz w:val="24"/>
          <w:szCs w:val="24"/>
          <w:lang w:eastAsia="pl-PL"/>
        </w:rPr>
        <w:t xml:space="preserve"> </w:t>
      </w:r>
      <w:r w:rsidRPr="0058413E">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58413E">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58413E">
        <w:rPr>
          <w:rFonts w:asciiTheme="minorHAnsi" w:eastAsia="Times New Roman" w:hAnsiTheme="minorHAnsi" w:cstheme="minorHAnsi"/>
          <w:b/>
          <w:color w:val="000000" w:themeColor="text1"/>
          <w:sz w:val="24"/>
          <w:szCs w:val="24"/>
          <w:lang w:eastAsia="pl-PL"/>
        </w:rPr>
        <w:t>dowodów</w:t>
      </w:r>
      <w:r w:rsidRPr="0058413E">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SIWZ </w:t>
      </w:r>
      <w:r w:rsidRPr="0058413E">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Dowodami, o których mowa wyżej są: </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referencje bądź inne dokumenty wystawione przez podmiot, na rzecz którego usługi były wykonywane, a w przypadku świadczeń okresowych lub ciągłych są wykonywane,</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58413E" w:rsidRPr="0058413E" w:rsidRDefault="0058413E" w:rsidP="0058413E">
      <w:pPr>
        <w:spacing w:line="240" w:lineRule="auto"/>
        <w:ind w:left="709"/>
        <w:jc w:val="both"/>
        <w:rPr>
          <w:rFonts w:asciiTheme="minorHAnsi" w:eastAsia="Times New Roman" w:hAnsiTheme="minorHAnsi" w:cstheme="minorHAnsi"/>
          <w:bCs/>
          <w:color w:val="000000" w:themeColor="text1"/>
          <w:sz w:val="24"/>
          <w:szCs w:val="24"/>
          <w:lang w:eastAsia="pl-PL"/>
        </w:rPr>
      </w:pPr>
      <w:r w:rsidRPr="0058413E">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w:t>
      </w:r>
      <w:r w:rsidRPr="0058413E">
        <w:rPr>
          <w:rFonts w:asciiTheme="minorHAnsi" w:eastAsia="Times New Roman" w:hAnsiTheme="minorHAnsi" w:cstheme="minorHAnsi"/>
          <w:sz w:val="24"/>
          <w:szCs w:val="24"/>
          <w:lang w:eastAsia="pl-PL"/>
        </w:rPr>
        <w:lastRenderedPageBreak/>
        <w:t xml:space="preserve">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w:t>
      </w:r>
      <w:r w:rsidRPr="0058413E">
        <w:rPr>
          <w:rFonts w:asciiTheme="minorHAnsi" w:eastAsia="Times New Roman" w:hAnsiTheme="minorHAnsi" w:cstheme="minorHAnsi"/>
          <w:sz w:val="24"/>
          <w:szCs w:val="24"/>
          <w:lang w:eastAsia="pl-PL"/>
        </w:rPr>
        <w:lastRenderedPageBreak/>
        <w:t>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w:t>
      </w:r>
      <w:r w:rsidRPr="0058413E">
        <w:rPr>
          <w:rFonts w:asciiTheme="minorHAnsi" w:eastAsia="Times New Roman" w:hAnsiTheme="minorHAnsi" w:cstheme="minorHAnsi"/>
          <w:sz w:val="24"/>
          <w:szCs w:val="24"/>
          <w:lang w:eastAsia="pl-PL"/>
        </w:rPr>
        <w:lastRenderedPageBreak/>
        <w:t>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6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lastRenderedPageBreak/>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poprawia w ofercie: oczywiste omyłki pisarskie oraz oczywiste omyłki rachunkowe, z uwzględnieniem konsekwencji rachunkowych dokonanych poprawek, inne omyłki polegające na niezgodności oferty z SIWZ, nie powodujące istotnych zmian w treści </w:t>
      </w:r>
      <w:r w:rsidRPr="0058413E">
        <w:rPr>
          <w:rFonts w:asciiTheme="minorHAnsi" w:eastAsia="Times New Roman" w:hAnsiTheme="minorHAnsi" w:cstheme="minorHAnsi"/>
          <w:sz w:val="24"/>
          <w:szCs w:val="24"/>
          <w:lang w:eastAsia="pl-PL"/>
        </w:rPr>
        <w:lastRenderedPageBreak/>
        <w:t>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color w:val="000000" w:themeColor="text1"/>
          <w:sz w:val="24"/>
          <w:szCs w:val="24"/>
          <w:lang w:eastAsia="pl-PL"/>
        </w:rPr>
        <w:t>3/PN/2019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lastRenderedPageBreak/>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w:t>
      </w:r>
      <w:r w:rsidRPr="0058413E">
        <w:rPr>
          <w:rFonts w:asciiTheme="minorHAnsi" w:hAnsiTheme="minorHAnsi" w:cstheme="minorHAnsi"/>
          <w:sz w:val="24"/>
          <w:szCs w:val="24"/>
        </w:rPr>
        <w:lastRenderedPageBreak/>
        <w:t xml:space="preserve">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lastRenderedPageBreak/>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złożyć w nieprzekraczalnym </w:t>
      </w:r>
      <w:r w:rsidRPr="00E440AB">
        <w:rPr>
          <w:rFonts w:asciiTheme="minorHAnsi" w:eastAsia="Times New Roman" w:hAnsiTheme="minorHAnsi" w:cstheme="minorHAnsi"/>
          <w:color w:val="000000" w:themeColor="text1"/>
          <w:sz w:val="24"/>
          <w:szCs w:val="24"/>
          <w:lang w:eastAsia="pl-PL"/>
        </w:rPr>
        <w:t>terminie do dnia:</w:t>
      </w:r>
    </w:p>
    <w:p w:rsidR="0058413E" w:rsidRPr="00E440AB" w:rsidRDefault="0058413E"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E440AB">
        <w:rPr>
          <w:rFonts w:asciiTheme="minorHAnsi" w:eastAsia="Times New Roman" w:hAnsiTheme="minorHAnsi" w:cstheme="minorHAnsi"/>
          <w:b/>
          <w:color w:val="000000" w:themeColor="text1"/>
          <w:sz w:val="24"/>
          <w:szCs w:val="24"/>
          <w:u w:val="single"/>
          <w:lang w:eastAsia="pl-PL"/>
        </w:rPr>
        <w:t>30 maja 2019 r., do godz. 13:30.</w:t>
      </w:r>
      <w:r w:rsidRPr="00E440AB">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rsidR="0058413E" w:rsidRPr="00E440AB"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440AB">
        <w:rPr>
          <w:rFonts w:cstheme="minorHAnsi"/>
          <w:color w:val="000000" w:themeColor="text1"/>
          <w:sz w:val="24"/>
          <w:szCs w:val="24"/>
        </w:rPr>
        <w:t xml:space="preserve">przy użyciu </w:t>
      </w:r>
      <w:proofErr w:type="spellStart"/>
      <w:r w:rsidRPr="00E440AB">
        <w:rPr>
          <w:rFonts w:cstheme="minorHAnsi"/>
          <w:color w:val="000000" w:themeColor="text1"/>
          <w:sz w:val="24"/>
          <w:szCs w:val="24"/>
        </w:rPr>
        <w:t>miniPortalu</w:t>
      </w:r>
      <w:proofErr w:type="spellEnd"/>
      <w:r w:rsidRPr="00E440AB">
        <w:rPr>
          <w:rFonts w:cstheme="minorHAnsi"/>
          <w:color w:val="000000" w:themeColor="text1"/>
          <w:sz w:val="24"/>
          <w:szCs w:val="24"/>
        </w:rPr>
        <w:t xml:space="preserve"> (</w:t>
      </w:r>
      <w:hyperlink r:id="rId11" w:history="1">
        <w:r w:rsidRPr="00E440AB">
          <w:rPr>
            <w:rStyle w:val="Hipercze"/>
            <w:rFonts w:cstheme="minorHAnsi"/>
            <w:color w:val="000000" w:themeColor="text1"/>
            <w:sz w:val="24"/>
            <w:szCs w:val="24"/>
          </w:rPr>
          <w:t>https://miniportal.uzp.gov.pl/</w:t>
        </w:r>
      </w:hyperlink>
      <w:r w:rsidRPr="00E440AB">
        <w:rPr>
          <w:rStyle w:val="Hipercze"/>
          <w:rFonts w:cstheme="minorHAnsi"/>
          <w:color w:val="000000" w:themeColor="text1"/>
          <w:sz w:val="24"/>
          <w:szCs w:val="24"/>
        </w:rPr>
        <w: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 xml:space="preserve">Otwarcie ofert nastąpi w dniu </w:t>
      </w:r>
      <w:r w:rsidRPr="00E440AB">
        <w:rPr>
          <w:rFonts w:asciiTheme="minorHAnsi" w:eastAsia="Times New Roman" w:hAnsiTheme="minorHAnsi" w:cstheme="minorHAnsi"/>
          <w:b/>
          <w:color w:val="000000" w:themeColor="text1"/>
          <w:sz w:val="24"/>
          <w:szCs w:val="24"/>
          <w:u w:val="single"/>
          <w:lang w:eastAsia="pl-PL"/>
        </w:rPr>
        <w:t>30 maja 2019 r. o godz. 14:30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Otwarcie ofert następuje poprzez</w:t>
      </w:r>
      <w:r w:rsidRPr="0058413E">
        <w:rPr>
          <w:rFonts w:asciiTheme="minorHAnsi" w:hAnsiTheme="minorHAnsi" w:cstheme="minorHAnsi"/>
          <w:sz w:val="24"/>
          <w:szCs w:val="24"/>
        </w:rPr>
        <w:t xml:space="preserve"> użycie aplikacji do szyfrowania ofert dostępnej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i dokonywane jest poprzez odszyfrowanie i otwarcie ofert za pomocą klucza prywatnego.</w:t>
      </w:r>
      <w:bookmarkEnd w:id="0"/>
      <w:bookmarkEnd w:id="1"/>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58413E" w:rsidRDefault="0058413E" w:rsidP="0058413E">
      <w:pPr>
        <w:pStyle w:val="Akapitzlist"/>
        <w:shd w:val="clear" w:color="auto" w:fill="FFFFFF"/>
        <w:spacing w:after="0"/>
        <w:ind w:left="567" w:right="100"/>
        <w:jc w:val="both"/>
        <w:rPr>
          <w:rFonts w:eastAsia="Times New Roman" w:cstheme="minorHAnsi"/>
          <w:sz w:val="24"/>
          <w:szCs w:val="24"/>
          <w:lang w:eastAsia="pl-PL"/>
        </w:rPr>
      </w:pPr>
    </w:p>
    <w:p w:rsidR="00E440AB" w:rsidRDefault="00E440AB" w:rsidP="0058413E">
      <w:pPr>
        <w:pStyle w:val="Akapitzlist"/>
        <w:shd w:val="clear" w:color="auto" w:fill="FFFFFF"/>
        <w:spacing w:after="0"/>
        <w:ind w:left="567" w:right="100"/>
        <w:jc w:val="both"/>
        <w:rPr>
          <w:rFonts w:eastAsia="Times New Roman" w:cstheme="minorHAnsi"/>
          <w:sz w:val="24"/>
          <w:szCs w:val="24"/>
          <w:lang w:eastAsia="pl-PL"/>
        </w:rPr>
      </w:pPr>
    </w:p>
    <w:p w:rsidR="00E440AB" w:rsidRDefault="00E440AB" w:rsidP="0058413E">
      <w:pPr>
        <w:pStyle w:val="Akapitzlist"/>
        <w:shd w:val="clear" w:color="auto" w:fill="FFFFFF"/>
        <w:spacing w:after="0"/>
        <w:ind w:left="567" w:right="100"/>
        <w:jc w:val="both"/>
        <w:rPr>
          <w:rFonts w:eastAsia="Times New Roman" w:cstheme="minorHAnsi"/>
          <w:sz w:val="24"/>
          <w:szCs w:val="24"/>
          <w:lang w:eastAsia="pl-PL"/>
        </w:rPr>
      </w:pPr>
    </w:p>
    <w:p w:rsidR="00E440AB" w:rsidRDefault="00E440AB" w:rsidP="0058413E">
      <w:pPr>
        <w:pStyle w:val="Akapitzlist"/>
        <w:shd w:val="clear" w:color="auto" w:fill="FFFFFF"/>
        <w:spacing w:after="0"/>
        <w:ind w:left="567" w:right="100"/>
        <w:jc w:val="both"/>
        <w:rPr>
          <w:rFonts w:eastAsia="Times New Roman" w:cstheme="minorHAnsi"/>
          <w:sz w:val="24"/>
          <w:szCs w:val="24"/>
          <w:lang w:eastAsia="pl-PL"/>
        </w:rPr>
      </w:pPr>
    </w:p>
    <w:p w:rsidR="00E440AB" w:rsidRDefault="00E440AB" w:rsidP="0058413E">
      <w:pPr>
        <w:pStyle w:val="Akapitzlist"/>
        <w:shd w:val="clear" w:color="auto" w:fill="FFFFFF"/>
        <w:spacing w:after="0"/>
        <w:ind w:left="567"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bookmarkStart w:id="2" w:name="_GoBack"/>
      <w:bookmarkEnd w:id="2"/>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DB" w:rsidRDefault="00236EDB" w:rsidP="00790505">
      <w:pPr>
        <w:spacing w:line="240" w:lineRule="auto"/>
      </w:pPr>
      <w:r>
        <w:separator/>
      </w:r>
    </w:p>
  </w:endnote>
  <w:endnote w:type="continuationSeparator" w:id="0">
    <w:p w:rsidR="00236EDB" w:rsidRDefault="00236EDB"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236EDB" w:rsidP="004E1B22">
    <w:pPr>
      <w:pStyle w:val="Stopka"/>
      <w:tabs>
        <w:tab w:val="clear" w:pos="4536"/>
        <w:tab w:val="left" w:pos="2565"/>
        <w:tab w:val="left" w:pos="4395"/>
        <w:tab w:val="left" w:pos="6804"/>
      </w:tabs>
      <w:ind w:left="-284"/>
      <w:rPr>
        <w:rFonts w:ascii="Klavika Lt" w:hAnsi="Klavika Lt"/>
        <w:sz w:val="16"/>
        <w:szCs w:val="16"/>
      </w:rPr>
    </w:pPr>
  </w:p>
  <w:p w:rsidR="004E1B22" w:rsidRDefault="00236EDB"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DB" w:rsidRDefault="00236EDB" w:rsidP="00790505">
      <w:pPr>
        <w:spacing w:line="240" w:lineRule="auto"/>
      </w:pPr>
      <w:r>
        <w:separator/>
      </w:r>
    </w:p>
  </w:footnote>
  <w:footnote w:type="continuationSeparator" w:id="0">
    <w:p w:rsidR="00236EDB" w:rsidRDefault="00236EDB"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236EDB"/>
    <w:rsid w:val="0058413E"/>
    <w:rsid w:val="00790505"/>
    <w:rsid w:val="007C4B87"/>
    <w:rsid w:val="008439CA"/>
    <w:rsid w:val="008828BC"/>
    <w:rsid w:val="0093645B"/>
    <w:rsid w:val="00B825B6"/>
    <w:rsid w:val="00BF3E8B"/>
    <w:rsid w:val="00C76952"/>
    <w:rsid w:val="00D27C34"/>
    <w:rsid w:val="00E03A55"/>
    <w:rsid w:val="00E440AB"/>
    <w:rsid w:val="00E66817"/>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95B2E"/>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6240</Words>
  <Characters>37441</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2019-04-24T19:01:00Z</dcterms:created>
  <dcterms:modified xsi:type="dcterms:W3CDTF">2019-04-24T19:01:00Z</dcterms:modified>
</cp:coreProperties>
</file>