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B" w:rsidRPr="0036310C" w:rsidRDefault="00CA6ABB" w:rsidP="00CA6ABB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4 lipca </w:t>
      </w:r>
      <w:r w:rsidRPr="0036310C">
        <w:rPr>
          <w:rFonts w:asciiTheme="minorHAnsi" w:hAnsiTheme="minorHAnsi" w:cstheme="minorHAnsi"/>
          <w:sz w:val="24"/>
          <w:szCs w:val="24"/>
        </w:rPr>
        <w:t>2019 roku</w:t>
      </w:r>
    </w:p>
    <w:p w:rsidR="00CA6ABB" w:rsidRDefault="00CA6ABB" w:rsidP="00CA6ABB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A6ABB" w:rsidRPr="001A30E9" w:rsidRDefault="00CA6ABB" w:rsidP="00CA6ABB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A6ABB" w:rsidRPr="00373890" w:rsidRDefault="00CA6ABB" w:rsidP="00CA6ABB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Pr="00DB3BA1" w:rsidRDefault="00CA6ABB" w:rsidP="00CA6ABB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</w:t>
      </w:r>
      <w:r w:rsidRPr="00CA6ABB">
        <w:rPr>
          <w:rFonts w:asciiTheme="minorHAnsi" w:hAnsiTheme="minorHAnsi" w:cstheme="minorHAnsi"/>
          <w:sz w:val="24"/>
          <w:szCs w:val="24"/>
        </w:rPr>
        <w:t xml:space="preserve">nieograniczonego na </w:t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leasing aparatury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badawczo-pomiarowej w postaci dwóch niezależnych stanowisk: kalorymetru różnicowego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i fotometru płomieniowego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A6ABB" w:rsidRPr="005D6A8A" w:rsidRDefault="00CA6ABB" w:rsidP="00CA6ABB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CA6ABB" w:rsidRPr="005D6A8A" w:rsidRDefault="00CA6ABB" w:rsidP="00CA6AB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6ABB" w:rsidRDefault="00CA6ABB" w:rsidP="00CA6ABB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A6ABB" w:rsidRDefault="00CA6ABB" w:rsidP="00CA6ABB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dokonuje modyfikacji treści SIWZ:</w:t>
      </w:r>
    </w:p>
    <w:p w:rsidR="00CA6ABB" w:rsidRPr="00CF3998" w:rsidRDefault="00CA6ABB" w:rsidP="00CA6ABB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A6ABB" w:rsidRPr="00CF3998" w:rsidRDefault="00CA6ABB" w:rsidP="00CA6ABB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Zmienia sią zapis w rozdziale X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II SIWZ - </w:t>
      </w:r>
      <w:r w:rsidRPr="00CF3998">
        <w:rPr>
          <w:rFonts w:asciiTheme="minorHAnsi" w:eastAsia="Times New Roman" w:hAnsiTheme="minorHAnsi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/>
          <w:i/>
          <w:sz w:val="24"/>
          <w:szCs w:val="24"/>
          <w:lang w:eastAsia="pl-PL"/>
        </w:rPr>
        <w:t>:</w:t>
      </w:r>
    </w:p>
    <w:p w:rsidR="00CA6ABB" w:rsidRPr="00CF3998" w:rsidRDefault="00CA6ABB" w:rsidP="00CA6ABB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A6ABB" w:rsidRPr="00CC529A" w:rsidRDefault="00CA6ABB" w:rsidP="00CA6ABB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A6ABB" w:rsidRPr="00CC529A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A6ABB" w:rsidRPr="00CC12F7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r., do godz. 15:00.</w:t>
      </w:r>
    </w:p>
    <w:p w:rsidR="00CA6ABB" w:rsidRPr="009A0721" w:rsidRDefault="00CA6ABB" w:rsidP="00CA6ABB">
      <w:pPr>
        <w:numPr>
          <w:ilvl w:val="0"/>
          <w:numId w:val="16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A6ABB" w:rsidRPr="009A0721" w:rsidRDefault="00CA6ABB" w:rsidP="00CA6ABB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leasing aparatury badawczo-pomiarowej w postaci dwóch niezależnych stanowisk: kalorymetru różnicowego i fotometru płomieniowego - 6/PN/2019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A6ABB" w:rsidRPr="009A0721" w:rsidRDefault="00CA6ABB" w:rsidP="00CA6ABB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15:30 dnia 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A6ABB" w:rsidRPr="00CC12F7" w:rsidRDefault="00CA6ABB" w:rsidP="00CA6ABB">
      <w:pPr>
        <w:numPr>
          <w:ilvl w:val="0"/>
          <w:numId w:val="16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r. o godz. 15:30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A6ABB" w:rsidRDefault="00CA6ABB" w:rsidP="00CA6ABB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A6ABB" w:rsidRPr="00CF3998" w:rsidRDefault="00CA6ABB" w:rsidP="00CA6ABB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CA6ABB" w:rsidRPr="00CC529A" w:rsidRDefault="00CA6ABB" w:rsidP="00CA6AB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A6ABB" w:rsidRPr="00CC529A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A6ABB" w:rsidRPr="00CC12F7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r., do godz. 15:00.</w:t>
      </w:r>
    </w:p>
    <w:p w:rsidR="00CA6ABB" w:rsidRPr="009A0721" w:rsidRDefault="00CA6ABB" w:rsidP="00CA6ABB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lastRenderedPageBreak/>
        <w:t xml:space="preserve">Koperta powinna być zaadresowana w następujący sposób: 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A6ABB" w:rsidRPr="009A0721" w:rsidRDefault="00CA6ABB" w:rsidP="00CA6ABB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leasing aparatury badawczo-pomiarowej w postaci dwóch niezależnych stanowisk: kalorymetru różnicowego i fotometru płomieniowego - 6/PN/2019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A6ABB" w:rsidRPr="009A0721" w:rsidRDefault="00CA6ABB" w:rsidP="00CA6ABB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15:30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A6ABB" w:rsidRPr="00CC12F7" w:rsidRDefault="00CA6ABB" w:rsidP="00CA6ABB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r. o godz. 15:30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Pr="004661D0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Załącznik</w:t>
      </w:r>
      <w:bookmarkStart w:id="0" w:name="_GoBack"/>
      <w:bookmarkEnd w:id="0"/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CA6ABB" w:rsidRPr="00373890" w:rsidRDefault="00CA6ABB" w:rsidP="00CA6AB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24.07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.19</w:t>
      </w: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50" w:rsidRDefault="009F6050" w:rsidP="00EC5804">
      <w:pPr>
        <w:spacing w:line="240" w:lineRule="auto"/>
      </w:pPr>
      <w:r>
        <w:separator/>
      </w:r>
    </w:p>
  </w:endnote>
  <w:endnote w:type="continuationSeparator" w:id="0">
    <w:p w:rsidR="009F6050" w:rsidRDefault="009F6050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50" w:rsidRDefault="009F6050" w:rsidP="00EC5804">
      <w:pPr>
        <w:spacing w:line="240" w:lineRule="auto"/>
      </w:pPr>
      <w:r>
        <w:separator/>
      </w:r>
    </w:p>
  </w:footnote>
  <w:footnote w:type="continuationSeparator" w:id="0">
    <w:p w:rsidR="009F6050" w:rsidRDefault="009F6050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0E15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6A6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6"/>
  </w:num>
  <w:num w:numId="15">
    <w:abstractNumId w:val="17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9F6050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A6ABB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83A4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BB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CA6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2019-07-24T10:22:00Z</dcterms:created>
  <dcterms:modified xsi:type="dcterms:W3CDTF">2019-07-24T10:22:00Z</dcterms:modified>
</cp:coreProperties>
</file>