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8F" w:rsidRDefault="003F488F" w:rsidP="003F48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SIWZ</w:t>
      </w:r>
    </w:p>
    <w:p w:rsidR="003F488F" w:rsidRDefault="003F488F" w:rsidP="003F488F">
      <w:pPr>
        <w:jc w:val="right"/>
        <w:rPr>
          <w:b/>
          <w:sz w:val="28"/>
          <w:szCs w:val="28"/>
        </w:rPr>
      </w:pPr>
    </w:p>
    <w:p w:rsidR="003F488F" w:rsidRDefault="003F488F" w:rsidP="003F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3F488F" w:rsidRDefault="003F488F" w:rsidP="003F488F">
      <w:pPr>
        <w:rPr>
          <w:b/>
          <w:sz w:val="28"/>
          <w:szCs w:val="28"/>
        </w:rPr>
      </w:pPr>
    </w:p>
    <w:p w:rsidR="003F488F" w:rsidRDefault="003F488F" w:rsidP="003F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Leasing aparatury badawczo-pomiarowej w postaci dwóch niezależnych stanowisk: kalorymetru różnicowego i fotometru płomieniowego.</w:t>
      </w:r>
    </w:p>
    <w:p w:rsidR="003F488F" w:rsidRDefault="003F488F" w:rsidP="003F488F"/>
    <w:p w:rsidR="003F488F" w:rsidRDefault="003F488F" w:rsidP="003F488F"/>
    <w:p w:rsidR="003F488F" w:rsidRDefault="003F488F" w:rsidP="003F488F">
      <w:pPr>
        <w:jc w:val="both"/>
      </w:pPr>
      <w:r>
        <w:t xml:space="preserve">Dostawca zobowiązany będzie do: dostawy, montażu, uruchomienia oraz przeprowadzenia dwudniowego szkolenia dla czterech osób z zakresu obsługi obu urządzeń. </w:t>
      </w:r>
    </w:p>
    <w:p w:rsidR="003F488F" w:rsidRDefault="003F488F" w:rsidP="003F488F"/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Urządzenia muszą być kompletne z pełnym wyposażeniem tak, aby po zainstalowaniu wszystkich elementów przez Wykonawcę oraz podłączeniu do instalacji elektrycznej urządzenia były gotowe do pracy, bez konieczności zakupu dodatkowych elementów przez Zamawiającego.</w:t>
      </w:r>
    </w:p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</w:p>
    <w:p w:rsidR="003F488F" w:rsidRDefault="003F488F" w:rsidP="003F488F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cs="TimesNewRomanPSMT"/>
          <w:lang w:eastAsia="pl-PL"/>
        </w:rPr>
        <w:t>Dostawca jest zobowiązany zapewnić serw</w:t>
      </w:r>
      <w:bookmarkStart w:id="0" w:name="_GoBack"/>
      <w:bookmarkEnd w:id="0"/>
      <w:r>
        <w:rPr>
          <w:rFonts w:cs="TimesNewRomanPSMT"/>
          <w:lang w:eastAsia="pl-PL"/>
        </w:rPr>
        <w:t xml:space="preserve">is gwarancyjny i pogwarancyjny z czasem </w:t>
      </w:r>
      <w:r w:rsidRPr="00BF3710">
        <w:rPr>
          <w:rFonts w:cs="TimesNewRomanPSMT"/>
          <w:lang w:eastAsia="pl-PL"/>
        </w:rPr>
        <w:t xml:space="preserve">reakcji do </w:t>
      </w:r>
      <w:r w:rsidR="00332993" w:rsidRPr="00BF3710">
        <w:rPr>
          <w:rFonts w:cs="TimesNewRomanPSMT"/>
          <w:lang w:eastAsia="pl-PL"/>
        </w:rPr>
        <w:t>72</w:t>
      </w:r>
      <w:r w:rsidRPr="00BF3710">
        <w:rPr>
          <w:rFonts w:cs="TimesNewRomanPSMT"/>
          <w:lang w:eastAsia="pl-PL"/>
        </w:rPr>
        <w:t xml:space="preserve"> godzin</w:t>
      </w:r>
      <w:r>
        <w:rPr>
          <w:rFonts w:cs="TimesNewRomanPSMT"/>
          <w:lang w:eastAsia="pl-PL"/>
        </w:rPr>
        <w:t xml:space="preserve"> od momentu zgłoszenia awarii z obsługą w języku polskim.</w:t>
      </w:r>
    </w:p>
    <w:p w:rsidR="003F488F" w:rsidRDefault="003F488F" w:rsidP="003F488F"/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Zamawiający wymaga, żeby oferowane urządzenia były fabrycznie nowe, pochodziły z bieżącej produkcji oraz spełniały wszelkie wymagania wyrobów określonych prawem polskim, dopuszczonych do obrotu i stosowania, w tym powinny posiadać znak CE.</w:t>
      </w:r>
    </w:p>
    <w:p w:rsidR="003F488F" w:rsidRDefault="003F488F" w:rsidP="003F488F"/>
    <w:p w:rsidR="003F488F" w:rsidRDefault="003F488F" w:rsidP="003F488F"/>
    <w:p w:rsidR="003F488F" w:rsidRDefault="003F488F" w:rsidP="003F488F">
      <w:pPr>
        <w:rPr>
          <w:b/>
        </w:rPr>
      </w:pPr>
      <w:r>
        <w:rPr>
          <w:b/>
        </w:rPr>
        <w:t>Opis techniczno-użytkowy urządzeń dostarczanych w ramach realizacji przedmiotu zamówienia:</w:t>
      </w:r>
    </w:p>
    <w:p w:rsidR="003F488F" w:rsidRDefault="003F488F" w:rsidP="003F488F"/>
    <w:p w:rsidR="003F488F" w:rsidRDefault="003F488F" w:rsidP="003F488F">
      <w:pPr>
        <w:pStyle w:val="Akapitzlist"/>
        <w:numPr>
          <w:ilvl w:val="0"/>
          <w:numId w:val="12"/>
        </w:numPr>
        <w:spacing w:after="0" w:line="240" w:lineRule="auto"/>
      </w:pPr>
      <w:r>
        <w:t>KALORYMETR RÓŻNICOWY</w:t>
      </w:r>
    </w:p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color w:val="000000"/>
          <w:lang w:eastAsia="pl-PL"/>
        </w:rPr>
      </w:pPr>
      <w:r>
        <w:rPr>
          <w:rFonts w:cs="TimesNewRomanPS-BoldMT"/>
          <w:b/>
          <w:bCs/>
          <w:color w:val="000000"/>
          <w:lang w:eastAsia="pl-PL"/>
        </w:rPr>
        <w:t xml:space="preserve">Wymagania ogólne </w:t>
      </w:r>
      <w:r>
        <w:rPr>
          <w:rFonts w:cs="TimesNewRomanPSMT"/>
          <w:color w:val="000000"/>
          <w:lang w:eastAsia="pl-PL"/>
        </w:rPr>
        <w:t>(normatywne):</w:t>
      </w:r>
    </w:p>
    <w:p w:rsidR="003F488F" w:rsidRDefault="003F488F" w:rsidP="003F488F">
      <w:pPr>
        <w:autoSpaceDE w:val="0"/>
        <w:autoSpaceDN w:val="0"/>
        <w:adjustRightInd w:val="0"/>
        <w:rPr>
          <w:rFonts w:cs="TimesNewRomanPS-BoldMT"/>
          <w:bCs/>
          <w:color w:val="000000"/>
          <w:lang w:eastAsia="pl-PL"/>
        </w:rPr>
      </w:pP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de-DE"/>
        </w:rPr>
      </w:pPr>
      <w:r>
        <w:rPr>
          <w:rFonts w:cs="Arial"/>
        </w:rPr>
        <w:t>Zakres temperatury prowadzenia analizy: od -40°C do +600°C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Tryb pracy DSC – ogrzewanie przepływowe (</w:t>
      </w:r>
      <w:proofErr w:type="spellStart"/>
      <w:r>
        <w:rPr>
          <w:rFonts w:cs="Arial"/>
        </w:rPr>
        <w:t>heat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flow</w:t>
      </w:r>
      <w:proofErr w:type="spellEnd"/>
      <w:r>
        <w:rPr>
          <w:rFonts w:cs="Arial"/>
        </w:rPr>
        <w:t>)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Czujnik DSC metaliczny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Dokładność pomiaru sygnału DSC nie gorsza niż ± 1 % przy pomiarze wzorca indu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Zakres pomiaru strumienia cieplnego:  </w:t>
      </w:r>
      <w:r>
        <w:rPr>
          <w:rFonts w:cs="Arial"/>
        </w:rPr>
        <w:t xml:space="preserve">0 ... ±750 </w:t>
      </w:r>
      <w:proofErr w:type="spellStart"/>
      <w:r>
        <w:rPr>
          <w:rFonts w:cs="Arial"/>
        </w:rPr>
        <w:t>mW</w:t>
      </w:r>
      <w:proofErr w:type="spellEnd"/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Stała czasowa czujnika nie większa niż 0.8 s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Rozdzielczość cyfrowa linii DSC (powiększenie linii DSC) nie większa niż 0.5 µW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Stosunek sygnału do szumu (szum RMS) nie większa niż 1 µW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Najmniejsza wykrywanlna przemiana (limit detekcji) nie większa niż 10 µW 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Stosunek wysokości do szerokości połówkowej piku topnienia materiału wzorcowego - indu – nie mniejszy niż 100 mW/°C 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Dokładność wyznaczenia temperatury: nie gorsza niż </w:t>
      </w:r>
      <w:r>
        <w:rPr>
          <w:rFonts w:cs="Arial"/>
        </w:rPr>
        <w:t>+/-0.1 K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System chłodzenia mechanicznego w zakresie: </w:t>
      </w:r>
      <w:r>
        <w:rPr>
          <w:rFonts w:cs="Arial"/>
        </w:rPr>
        <w:t>-40°C do +600°C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>Możliwość rozbudowy o system chłodzenia ciekłym azotem w zakresie temperatur: -</w:t>
      </w:r>
      <w:r>
        <w:rPr>
          <w:rFonts w:cs="Arial"/>
        </w:rPr>
        <w:t>170°C do +600°C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>Możliwość regulacji szybkości grzania i chłodzenia w zakresie od 0.001 do 500 K/min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Możliwośc zasilania trzema gazami, w tym conajmniej dwoma reakcyjnymi i jednym ochronnym. Możliwość zmiany programowlanej atmosfery gazowej w trakcie trwania pomiaru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Możliwość kontroli i sterowania przepływami gazów z dokładnością ± 1ml/min, możliwość sterowania </w:t>
      </w:r>
      <w:r>
        <w:rPr>
          <w:rFonts w:cs="Arial"/>
          <w:lang w:val="it-IT"/>
        </w:rPr>
        <w:lastRenderedPageBreak/>
        <w:t>z poziomu oprogramowania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</w:rPr>
        <w:t>Możliwość rozbudowy o automatyczny podajnik próbek, także dla tygli ciśnieniowych, z możliwością wymiany wzorca odniesienia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de-DE"/>
        </w:rPr>
      </w:pPr>
      <w:r>
        <w:rPr>
          <w:rFonts w:cs="Arial"/>
        </w:rPr>
        <w:t>Urządzenie powinno być wyposażone w zestaw do kalibracji temperatury i entalpii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Oprogramowanie powinno mieć następujące możliwości: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możliwość przedstawienia sygnału DSC po eliminacji wpływu stałej czasowej i oporu cieplnego czujnika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możliwość tworzenia własnych baz danych badanych materiałów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możliwość automatycznej analizy krzywej (wyznaczenie charakterystycznych temperatur oraz entalpii przemian)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automatyczna identyfikacja badanych związków z podaniem prawdopodobieństwa zgodności z materiałem wzorcowym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 xml:space="preserve">- możliwość zdefiniowania metod pomiarowych dla wybranej grupy materiałów 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możliwość definiowania i zapisywania metod pomiarowych użytkownika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 xml:space="preserve">- możliwość sterowania oprogramowaniem z ekranu dotykowego </w:t>
      </w:r>
    </w:p>
    <w:p w:rsidR="003F488F" w:rsidRDefault="003F488F" w:rsidP="003F48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Gabaryty urządzenia nie większe niż:</w:t>
      </w:r>
    </w:p>
    <w:p w:rsidR="003F488F" w:rsidRDefault="003F488F" w:rsidP="003F488F">
      <w:pPr>
        <w:pStyle w:val="Akapitzlist"/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jednostka główna aparatury: wysokość 290mm, szerokość 360mm głębokość 570mm, ciężar 25kg;</w:t>
      </w:r>
    </w:p>
    <w:p w:rsidR="003F488F" w:rsidRDefault="003F488F" w:rsidP="003F488F">
      <w:pPr>
        <w:pStyle w:val="Akapitzlist"/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jednostka chłodząca: wysokość 450mm, szerokość 220mm głębokość 600mm, ciężar 26kg.</w:t>
      </w:r>
    </w:p>
    <w:p w:rsidR="003F488F" w:rsidRDefault="003F488F" w:rsidP="003F48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Zasilanie urządzenia – prąd przemienny 230V, 50Hz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Komputer przenośny </w:t>
      </w:r>
      <w:r>
        <w:t>do obsługi kalorymetru, zbierania danych, tworzenia raportów zgodny z opisem zawartym w załączniku nr 1 do SOPZ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TimesNewRomanPSMT"/>
          <w:lang w:eastAsia="pl-PL"/>
        </w:rPr>
        <w:t xml:space="preserve">Dostawca jest zobowiązany zapewnić serwis gwarancyjny i pogwarancyjny z czasem reakcji do 72 godzin od momentu zgłoszenia awarii z obsługą w języku polskim. </w:t>
      </w:r>
    </w:p>
    <w:p w:rsidR="003F488F" w:rsidRDefault="003F488F" w:rsidP="003F48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Minimalny okres gwarancji w miejscu eksploatacji dla </w:t>
      </w:r>
      <w:r>
        <w:rPr>
          <w:rFonts w:eastAsia="Times New Roman" w:cs="Calibri"/>
          <w:color w:val="000000"/>
          <w:lang w:eastAsia="pl-PL"/>
        </w:rPr>
        <w:t>urządzenia wynosi 12 miesięcy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Gwarancja obejmować będzie całość urządzenia, nie dopuszcza się wyłączenia jakichkolwiek </w:t>
      </w:r>
    </w:p>
    <w:p w:rsidR="003F488F" w:rsidRDefault="003F488F" w:rsidP="003F488F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elementów z zakresu gwarancji</w:t>
      </w:r>
    </w:p>
    <w:p w:rsidR="003F488F" w:rsidRDefault="003F488F" w:rsidP="003F48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Wszelkie koszty związane z serwisem gwarancyjnym ponosi Wykonawca</w:t>
      </w:r>
    </w:p>
    <w:p w:rsidR="003F488F" w:rsidRDefault="003F488F" w:rsidP="003F48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TimesNewRomanPSMT"/>
          <w:lang w:eastAsia="pl-PL"/>
        </w:rPr>
      </w:pPr>
      <w:r>
        <w:rPr>
          <w:rFonts w:cs="TimesNewRomanPSMT"/>
          <w:lang w:eastAsia="pl-PL"/>
        </w:rPr>
        <w:t xml:space="preserve">W ramach przedmiotowej gwarancji Wykonawca pokrywa koszty wymiany wadliwych elementów lub całych zestawów, jeżeli zajdzie taka konieczność. Wszelkie koszty z tym związane, takie jak koszty transportu, ubezpieczenia, koszty robocizny oraz ewentualne koszty podróży i pobytu specjalistów Wykonawcy w IMN O/Poznań </w:t>
      </w:r>
      <w:proofErr w:type="spellStart"/>
      <w:r>
        <w:rPr>
          <w:rFonts w:cs="TimesNewRomanPSMT"/>
          <w:lang w:eastAsia="pl-PL"/>
        </w:rPr>
        <w:t>CLAiO</w:t>
      </w:r>
      <w:proofErr w:type="spellEnd"/>
      <w:r>
        <w:rPr>
          <w:rFonts w:cs="TimesNewRomanPSMT"/>
          <w:lang w:eastAsia="pl-PL"/>
        </w:rPr>
        <w:t xml:space="preserve"> pokrywa Wykonawca</w:t>
      </w:r>
    </w:p>
    <w:p w:rsidR="003F488F" w:rsidRDefault="003F488F" w:rsidP="003F48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Wraz z dostawą urządzenia Wykonawca będzie zobowiązany do dostarczenia karty gwarancyjnej, zgodnie z wymogami SIWZ i złożoną ofertą oraz instrukcji obsługi w języku polskim i języku angielskim</w:t>
      </w:r>
    </w:p>
    <w:p w:rsidR="003F488F" w:rsidRDefault="003F488F" w:rsidP="003F48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Wykonawca powinien zapewnić dostępność części zamiennych przez okres, co najmniej</w:t>
      </w:r>
      <w:r>
        <w:rPr>
          <w:rFonts w:cs="TimesNewRomanPSMT"/>
          <w:color w:val="FF0000"/>
          <w:lang w:eastAsia="pl-PL"/>
        </w:rPr>
        <w:t xml:space="preserve"> </w:t>
      </w:r>
      <w:r>
        <w:rPr>
          <w:rFonts w:cs="TimesNewRomanPSMT"/>
          <w:lang w:eastAsia="pl-PL"/>
        </w:rPr>
        <w:t>6 lat od daty zakupu</w:t>
      </w:r>
    </w:p>
    <w:p w:rsidR="003F488F" w:rsidRDefault="003F488F" w:rsidP="003F488F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:rsidR="003F488F" w:rsidRDefault="003F488F" w:rsidP="003F488F">
      <w:pPr>
        <w:autoSpaceDE w:val="0"/>
        <w:autoSpaceDN w:val="0"/>
        <w:adjustRightInd w:val="0"/>
        <w:ind w:left="720"/>
        <w:rPr>
          <w:color w:val="000000"/>
        </w:rPr>
      </w:pPr>
    </w:p>
    <w:p w:rsidR="003F488F" w:rsidRDefault="003F488F" w:rsidP="003F488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Pozostałe warunki dotyczące kalorymetru różnicowego:</w:t>
      </w:r>
    </w:p>
    <w:p w:rsidR="003F488F" w:rsidRDefault="003F488F" w:rsidP="003F488F">
      <w:pPr>
        <w:autoSpaceDE w:val="0"/>
        <w:autoSpaceDN w:val="0"/>
        <w:adjustRightInd w:val="0"/>
        <w:ind w:left="720"/>
        <w:rPr>
          <w:color w:val="000000"/>
        </w:rPr>
      </w:pP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Dostarczane urządzenie umieszczone zostanie we wskazanym przez Zamawiającego pomieszczeniu klimatyzowanym, nieposiadającym wydzielonej instalacji wentylacyjnej przeznaczonej dla obsługi tego urządzenia.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Wymagana jest instrukcja obsługi w języku polskim </w:t>
      </w:r>
      <w:r>
        <w:rPr>
          <w:color w:val="000000"/>
          <w:u w:val="single"/>
        </w:rPr>
        <w:t>napisana poprawną polszczyzną.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Wraz z urządzeniem wymagana jest dostawa butli azotu o klasie czystości odpowiadającej wymaganiom urządzenia i pojemności nie mniejszej niż 50 l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W zestawie powinna znajdować się</w:t>
      </w:r>
      <w:r>
        <w:rPr>
          <w:rFonts w:cs="Arial"/>
        </w:rPr>
        <w:t xml:space="preserve"> prasa do zaciskania tygli aluminiowych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Wraz z urządzeniem wymagana jest dostawa tygli aluminiowych z pokrywkami w ilości nie mniejszej niż 90 szt.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Zestaw powinien zawierać </w:t>
      </w:r>
      <w:r>
        <w:rPr>
          <w:rFonts w:cs="Arial"/>
        </w:rPr>
        <w:t>narzędzie do przygotowania próbek z tworzyw sztucznych</w:t>
      </w:r>
    </w:p>
    <w:p w:rsidR="003F488F" w:rsidRDefault="003F488F" w:rsidP="003F488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lastRenderedPageBreak/>
        <w:t>Dostawa aparatury obejmować będzie instalację, uruchomienie, przeprowadzenie prób oraz szkolenie z zakresu obsługi</w:t>
      </w:r>
    </w:p>
    <w:p w:rsidR="003F488F" w:rsidRDefault="003F488F" w:rsidP="003F488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Oferowane urządzenie musi być fabrycznie nowe, posiadać deklarację zgodności i być oznakowane CE zgodnie z obowiązującymi przepisami</w:t>
      </w:r>
    </w:p>
    <w:p w:rsidR="003F488F" w:rsidRDefault="003F488F" w:rsidP="003F488F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F488F" w:rsidRDefault="003F488F" w:rsidP="003F488F">
      <w:pPr>
        <w:widowControl w:val="0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3F488F" w:rsidRDefault="003F488F" w:rsidP="003F488F">
      <w:pPr>
        <w:ind w:left="360"/>
      </w:pPr>
    </w:p>
    <w:p w:rsidR="003F488F" w:rsidRDefault="003F488F" w:rsidP="003F488F">
      <w:pPr>
        <w:pStyle w:val="Akapitzlist"/>
        <w:numPr>
          <w:ilvl w:val="0"/>
          <w:numId w:val="12"/>
        </w:numPr>
        <w:spacing w:after="0" w:line="240" w:lineRule="auto"/>
      </w:pPr>
      <w:r>
        <w:t>FOTOMETR PŁOMIENIOWY</w:t>
      </w:r>
    </w:p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color w:val="000000"/>
          <w:lang w:eastAsia="pl-PL"/>
        </w:rPr>
      </w:pPr>
      <w:r>
        <w:rPr>
          <w:rFonts w:cs="TimesNewRomanPS-BoldMT"/>
          <w:b/>
          <w:bCs/>
          <w:color w:val="000000"/>
          <w:lang w:eastAsia="pl-PL"/>
        </w:rPr>
        <w:t xml:space="preserve">Wymagania ogólne </w:t>
      </w:r>
      <w:r>
        <w:rPr>
          <w:rFonts w:cs="TimesNewRomanPSMT"/>
          <w:color w:val="000000"/>
          <w:lang w:eastAsia="pl-PL"/>
        </w:rPr>
        <w:t>(normatywne):</w:t>
      </w:r>
    </w:p>
    <w:p w:rsidR="003F488F" w:rsidRDefault="003F488F" w:rsidP="003F488F">
      <w:pPr>
        <w:autoSpaceDE w:val="0"/>
        <w:autoSpaceDN w:val="0"/>
        <w:adjustRightInd w:val="0"/>
        <w:rPr>
          <w:rFonts w:cs="TimesNewRomanPS-BoldMT"/>
          <w:bCs/>
          <w:color w:val="000000"/>
          <w:lang w:eastAsia="pl-PL"/>
        </w:rPr>
      </w:pP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TE17C0DA8t00"/>
        </w:rPr>
      </w:pPr>
      <w:r>
        <w:rPr>
          <w:rFonts w:eastAsia="TTE17C0DA8t00"/>
        </w:rPr>
        <w:t>Jednoczesny pomiar i wyświetlanie wyników mierzonych pierwiastków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TE17C0DA8t00"/>
        </w:rPr>
      </w:pPr>
      <w:r>
        <w:rPr>
          <w:rFonts w:eastAsia="TTE17C0DA8t00"/>
        </w:rPr>
        <w:t>Wyposażony, w co najmniej 5 niezależnych detektorów pozwalających na oznaczenie, co najmniej następujących pierwiastków: Na, K, Li, a także Ca, Ba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TE17C0DA8t00"/>
        </w:rPr>
      </w:pPr>
      <w:r>
        <w:rPr>
          <w:rFonts w:eastAsia="TTE17C0DA8t00"/>
        </w:rPr>
        <w:t>Kalibracja 1 punktowa lub wielopunktowa (max 9 punktów)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TE17C0DA8t00"/>
        </w:rPr>
      </w:pPr>
      <w:r>
        <w:rPr>
          <w:rFonts w:eastAsia="TTE17C0DA8t00"/>
        </w:rPr>
        <w:t>Kalibracja 1 pierwiastkowa lub jednoczesna wielopierwiastkowa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 xml:space="preserve">Czułość kalibracji: </w:t>
      </w:r>
    </w:p>
    <w:p w:rsidR="003F488F" w:rsidRDefault="003F488F" w:rsidP="003F488F">
      <w:pPr>
        <w:autoSpaceDE w:val="0"/>
        <w:autoSpaceDN w:val="0"/>
        <w:adjustRightInd w:val="0"/>
        <w:rPr>
          <w:rFonts w:eastAsia="TTE17C0DA8t00"/>
        </w:rPr>
      </w:pPr>
      <w:r>
        <w:rPr>
          <w:rFonts w:eastAsia="TTE17C0DA8t00"/>
        </w:rPr>
        <w:t>Przy kalibracji jednopunktowej:</w:t>
      </w:r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Na 0.05-60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K 0.05-100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Li 0.1-15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Ca 2.5-125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Ba 10-200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rPr>
          <w:rFonts w:eastAsia="TTE17C0DA8t00"/>
        </w:rPr>
      </w:pPr>
      <w:r>
        <w:rPr>
          <w:rFonts w:eastAsia="TTE17C0DA8t00"/>
        </w:rPr>
        <w:t>Przy kalibracji wielopunktowej:</w:t>
      </w:r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Na 0.05-1000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K 0.05-1000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Li 0.1-1000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Ca 25-1000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Ba 30-3000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Zachowywanie wartości kalibracji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Możliwość zapamiętania, co najmniej ostatnich 200 pomiarów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 xml:space="preserve">Dolne limity detekcji dla poszczególnych pierwiastków powinny być nie gorsze niż: Na 0.02 </w:t>
      </w:r>
      <w:proofErr w:type="spellStart"/>
      <w:r>
        <w:rPr>
          <w:rFonts w:eastAsia="TTE17C0DA8t00"/>
        </w:rPr>
        <w:t>ppm</w:t>
      </w:r>
      <w:proofErr w:type="spellEnd"/>
      <w:r>
        <w:rPr>
          <w:rFonts w:eastAsia="TTE17C0DA8t00"/>
        </w:rPr>
        <w:t xml:space="preserve">, K 0.02 </w:t>
      </w:r>
      <w:proofErr w:type="spellStart"/>
      <w:r>
        <w:rPr>
          <w:rFonts w:eastAsia="TTE17C0DA8t00"/>
        </w:rPr>
        <w:t>ppm</w:t>
      </w:r>
      <w:proofErr w:type="spellEnd"/>
      <w:r>
        <w:rPr>
          <w:rFonts w:eastAsia="TTE17C0DA8t00"/>
        </w:rPr>
        <w:t xml:space="preserve">, Li 0.05 </w:t>
      </w:r>
      <w:proofErr w:type="spellStart"/>
      <w:r>
        <w:rPr>
          <w:rFonts w:eastAsia="TTE17C0DA8t00"/>
        </w:rPr>
        <w:t>ppm</w:t>
      </w:r>
      <w:proofErr w:type="spellEnd"/>
      <w:r>
        <w:rPr>
          <w:rFonts w:eastAsia="TTE17C0DA8t00"/>
        </w:rPr>
        <w:t xml:space="preserve">, Ca 1.0 </w:t>
      </w:r>
      <w:proofErr w:type="spellStart"/>
      <w:r>
        <w:rPr>
          <w:rFonts w:eastAsia="TTE17C0DA8t00"/>
        </w:rPr>
        <w:t>ppm</w:t>
      </w:r>
      <w:proofErr w:type="spellEnd"/>
      <w:r>
        <w:rPr>
          <w:rFonts w:eastAsia="TTE17C0DA8t00"/>
        </w:rPr>
        <w:t xml:space="preserve">, Ba 10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Brak wpływu wysokiej zawartości jednego z pierwiastków na oznaczanie innego pierwiastka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Czas stabilizacji wyniku do 15 s po wprowadzeniu próbki do płomienia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 xml:space="preserve">Stabilność krzywej kalibracyjnej 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 xml:space="preserve"> Liniowość krzywej kalibracyjnej &lt;2 % (w środku zakresu przy jednopunktowej kalibracji)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Powtarzalność pomiaru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Napowietrzenie próbki w zakresie nie słabszym niż 3-7 ml/min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Automatyczny zapłon płomienia przy uruchomieniu pomiaru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Urządzenie powinno posiadać funkcję detekcji napełniania pojemniczka na zlewki pozostałe po pomiarze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Urządzenie powinno posiadać funkcję komunikowania o występowaniu ewentualnych błędów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Urządzenie powinno posiadać zabezpieczenie odcinające gazy przy zaniku płomienia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Wbudowany kompresor powietrza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rFonts w:eastAsia="TTE17C0DA8t00"/>
        </w:rPr>
        <w:t>Urządzenie powinno posiadać m</w:t>
      </w:r>
      <w:r>
        <w:rPr>
          <w:color w:val="000000"/>
        </w:rPr>
        <w:t>ożliwość regulacji prędkości zasysania próbki w zakresie nie mniejszym niż 3-7 ml/min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Elektroniczna kontrola powietrza zapewniająca możliwość zapłonu tylko w obecności powietrza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Urządzenie powinno być wyposażone w pochłaniacz wilgoci dla powietrza i paliwa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Urządzenie powinno być wyposażone w regulator przepływu gazu umożliwiający ustawienie wysokości płomienia o wysokości nie wyższej od zakresu 8-10 mm 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Urządzenie powinno posiadać wyświetlacz LED oraz klawiaturę</w:t>
      </w:r>
    </w:p>
    <w:p w:rsidR="003F488F" w:rsidRDefault="003F488F" w:rsidP="003F488F">
      <w:pPr>
        <w:numPr>
          <w:ilvl w:val="0"/>
          <w:numId w:val="15"/>
        </w:numPr>
        <w:jc w:val="both"/>
      </w:pPr>
      <w:r>
        <w:t>Urządzenie powinno być wyposażone i posiadać możliwość pełnej współpracy z zewnętrznym przenośnym komputerem zgodnym z opisem zawartym w załączniku nr 1 do SOPZ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Urządzenie powinno mieć możliwość rozbudowy o automatyczny podajnik próbek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Zasilanie za pomocą gazów: propan, butan, LPG, gaz ziemny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rFonts w:cs="Arial"/>
        </w:rPr>
        <w:t>Zasilanie urządzenia – prąd przemienny 230V, 50Hz</w:t>
      </w:r>
    </w:p>
    <w:p w:rsidR="003F488F" w:rsidRDefault="003F488F" w:rsidP="003F488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TimesNewRomanPSMT"/>
          <w:lang w:eastAsia="pl-PL"/>
        </w:rPr>
        <w:t xml:space="preserve">Dostawca jest zobowiązany zapewnić serwis gwarancyjny i pogwarancyjny z czasem reakcji do 72 godzin od momentu zgłoszenia awarii z obsługą w języku polskim. </w:t>
      </w:r>
    </w:p>
    <w:p w:rsidR="003F488F" w:rsidRDefault="003F488F" w:rsidP="003F488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Minimalny okres gwarancji w miejscu eksploatacji dla urządzenia wynosi 12 miesięcy.</w:t>
      </w:r>
    </w:p>
    <w:p w:rsidR="003F488F" w:rsidRDefault="003F488F" w:rsidP="003F488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Gwarancja obejmować będzie całość urządzenia, nie dopuszcza się wyłączenia jakichkolwiek </w:t>
      </w:r>
    </w:p>
    <w:p w:rsidR="003F488F" w:rsidRDefault="003F488F" w:rsidP="003F488F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elementów z zakresu gwarancji</w:t>
      </w:r>
    </w:p>
    <w:p w:rsidR="003F488F" w:rsidRDefault="003F488F" w:rsidP="003F488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Wszelkie koszty związane z serwisem gwarancyjnym ponosi Wykonawca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 w:cs="TimesNewRomanPSMT"/>
          <w:lang w:eastAsia="pl-PL"/>
        </w:rPr>
      </w:pPr>
      <w:r>
        <w:rPr>
          <w:rFonts w:cs="TimesNewRomanPSMT"/>
          <w:lang w:eastAsia="pl-PL"/>
        </w:rPr>
        <w:t xml:space="preserve">W ramach przedmiotowej gwarancji Wykonawca pokrywa koszty wymiany wadliwych elementów lub całych zestawów, jeżeli zajdzie taka konieczność. Wszelkie koszty z tym związane, takie jak koszty transportu, ubezpieczenia, koszty robocizny oraz ewentualne koszty podróży i pobytu specjalistów Wykonawcy w IMN O/Poznań </w:t>
      </w:r>
      <w:proofErr w:type="spellStart"/>
      <w:r>
        <w:rPr>
          <w:rFonts w:cs="TimesNewRomanPSMT"/>
          <w:lang w:eastAsia="pl-PL"/>
        </w:rPr>
        <w:t>CLAiO</w:t>
      </w:r>
      <w:proofErr w:type="spellEnd"/>
      <w:r>
        <w:rPr>
          <w:rFonts w:cs="TimesNewRomanPSMT"/>
          <w:lang w:eastAsia="pl-PL"/>
        </w:rPr>
        <w:t xml:space="preserve"> pokrywa Wykonawca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Wraz z dostawą urządzenia Wykonawca będzie zobowiązany do dostarczenia karty gwarancyjnej, zgodnie z wymogami SIWZ i złożoną ofertą oraz instrukcji obsługi w języku polskim / języku angielskim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Wykonawca powinien zapewnić dostępność części zamiennych przez okres, co najmniej</w:t>
      </w:r>
      <w:r>
        <w:rPr>
          <w:rFonts w:cs="TimesNewRomanPSMT"/>
          <w:color w:val="FF0000"/>
          <w:lang w:eastAsia="pl-PL"/>
        </w:rPr>
        <w:t xml:space="preserve"> </w:t>
      </w:r>
      <w:r>
        <w:rPr>
          <w:rFonts w:cs="TimesNewRomanPSMT"/>
          <w:lang w:eastAsia="pl-PL"/>
        </w:rPr>
        <w:t>6 lat od daty zakupu</w:t>
      </w:r>
    </w:p>
    <w:p w:rsidR="003F488F" w:rsidRDefault="003F488F" w:rsidP="003F488F">
      <w:pPr>
        <w:autoSpaceDE w:val="0"/>
        <w:autoSpaceDN w:val="0"/>
        <w:adjustRightInd w:val="0"/>
        <w:ind w:left="720"/>
        <w:rPr>
          <w:color w:val="000000"/>
        </w:rPr>
      </w:pPr>
    </w:p>
    <w:p w:rsidR="003F488F" w:rsidRDefault="003F488F" w:rsidP="003F488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Pozostałe warunki dotyczące fotometru płomieniowego:</w:t>
      </w:r>
    </w:p>
    <w:p w:rsidR="003F488F" w:rsidRDefault="003F488F" w:rsidP="003F488F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color w:val="000000"/>
        </w:rPr>
        <w:t xml:space="preserve">Urządzenie zostanie umieszczone w pomieszczeniu klimatyzowanym nieposiadającym </w:t>
      </w:r>
      <w:r>
        <w:t>wydzielonej instalacji wentylacyjnej przeznaczonej dla obsługi tego urządzenia.</w:t>
      </w: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Wymagana jest instrukcja obsługi w języku polskim </w:t>
      </w:r>
      <w:r>
        <w:rPr>
          <w:u w:val="single"/>
        </w:rPr>
        <w:t>napisana poprawną polszczyzną</w:t>
      </w: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Zestaw powinien zawierać </w:t>
      </w:r>
      <w:r>
        <w:rPr>
          <w:rFonts w:cs="Arial"/>
        </w:rPr>
        <w:t>następujące wyposażenie;</w:t>
      </w:r>
    </w:p>
    <w:p w:rsidR="003F488F" w:rsidRDefault="003F488F" w:rsidP="003F488F">
      <w:pPr>
        <w:autoSpaceDE w:val="0"/>
        <w:autoSpaceDN w:val="0"/>
        <w:adjustRightInd w:val="0"/>
        <w:ind w:left="709"/>
        <w:jc w:val="both"/>
      </w:pPr>
      <w:r>
        <w:t>- Komplet roztworów kalibracyjnych: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>Roztwór wzorcowy Li, (</w:t>
      </w:r>
      <w:proofErr w:type="spellStart"/>
      <w:r>
        <w:t>LiCl</w:t>
      </w:r>
      <w:proofErr w:type="spellEnd"/>
      <w:r>
        <w:t xml:space="preserve">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 xml:space="preserve">Roztwór wzorcowy Na, (NaCl),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>Roztwór wzorcowy K, (</w:t>
      </w:r>
      <w:proofErr w:type="spellStart"/>
      <w:r>
        <w:t>KCl</w:t>
      </w:r>
      <w:proofErr w:type="spellEnd"/>
      <w:r>
        <w:t xml:space="preserve">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>Roztwór wzorcowy Ca, (CaCl</w:t>
      </w:r>
      <w:r>
        <w:rPr>
          <w:vertAlign w:val="subscript"/>
        </w:rPr>
        <w:t>2</w:t>
      </w:r>
      <w:r>
        <w:t xml:space="preserve">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>Roztwór wzorcowy Ba, (BaCl</w:t>
      </w:r>
      <w:r>
        <w:rPr>
          <w:vertAlign w:val="subscript"/>
        </w:rPr>
        <w:t>2</w:t>
      </w:r>
      <w:r>
        <w:t xml:space="preserve">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opisp"/>
        <w:spacing w:before="0" w:beforeAutospacing="0" w:after="0" w:afterAutospacing="0" w:line="276" w:lineRule="auto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- Naczynia (zlewki) z tworzywa sztucznego 20 ml - 80 szt.</w:t>
      </w:r>
    </w:p>
    <w:p w:rsidR="003F488F" w:rsidRDefault="003F488F" w:rsidP="003F488F">
      <w:pPr>
        <w:pStyle w:val="opisp"/>
        <w:spacing w:before="0" w:beforeAutospacing="0" w:after="0" w:afterAutospacing="0" w:line="276" w:lineRule="auto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Pipety wielomiarowe z tworzywa 1 ml – 10 szt. </w:t>
      </w:r>
    </w:p>
    <w:p w:rsidR="003F488F" w:rsidRDefault="003F488F" w:rsidP="003F488F">
      <w:pPr>
        <w:pStyle w:val="opisp"/>
        <w:spacing w:before="0" w:beforeAutospacing="0" w:after="0" w:afterAutospacing="0" w:line="276" w:lineRule="auto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Pipety wielomiarowe z tworzywa 10/12 ml 10 szt. </w:t>
      </w:r>
    </w:p>
    <w:p w:rsidR="003F488F" w:rsidRDefault="003F488F" w:rsidP="003F488F">
      <w:pPr>
        <w:autoSpaceDE w:val="0"/>
        <w:autoSpaceDN w:val="0"/>
        <w:adjustRightInd w:val="0"/>
        <w:ind w:left="709"/>
        <w:jc w:val="both"/>
      </w:pPr>
      <w:r>
        <w:t xml:space="preserve">- Zapasowa kapilara zasysająca próbkę oraz drucik czyszczący do kapilar i </w:t>
      </w:r>
      <w:proofErr w:type="spellStart"/>
      <w:r>
        <w:t>nebulizera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left="709"/>
        <w:jc w:val="both"/>
      </w:pPr>
      <w:r>
        <w:t>- Oprogramowanie wraz z zestawem filmów instruktarzowych</w:t>
      </w:r>
    </w:p>
    <w:p w:rsidR="003F488F" w:rsidRDefault="003F488F" w:rsidP="003F488F">
      <w:pPr>
        <w:autoSpaceDE w:val="0"/>
        <w:autoSpaceDN w:val="0"/>
        <w:adjustRightInd w:val="0"/>
        <w:ind w:left="709"/>
        <w:jc w:val="both"/>
        <w:rPr>
          <w:rFonts w:cs="TTE10B4398t00"/>
          <w:color w:val="000000"/>
          <w:lang w:eastAsia="pl-PL"/>
        </w:rPr>
      </w:pPr>
      <w:r>
        <w:rPr>
          <w:rFonts w:cs="TTE10B4398t00"/>
          <w:color w:val="000000"/>
          <w:lang w:eastAsia="pl-PL"/>
        </w:rPr>
        <w:t>- Przewód gazowy</w:t>
      </w:r>
    </w:p>
    <w:p w:rsidR="003F488F" w:rsidRDefault="003F488F" w:rsidP="003F488F">
      <w:pPr>
        <w:autoSpaceDE w:val="0"/>
        <w:autoSpaceDN w:val="0"/>
        <w:adjustRightInd w:val="0"/>
        <w:ind w:left="709"/>
        <w:jc w:val="both"/>
      </w:pPr>
      <w:r>
        <w:t xml:space="preserve">- Zestaw zasilający (butla gazowa 11kg, gaz, przyłącze gazowe) </w:t>
      </w: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eastAsia="Times New Roman" w:cs="Calibri"/>
          <w:color w:val="000000"/>
          <w:lang w:eastAsia="pl-PL"/>
        </w:rPr>
        <w:t>Dostawa aparatury obejmować będzie instalację, uruchomienie, przeprowadzenie prób oraz szkolenie z zakresu obsługi</w:t>
      </w: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cs="Calibri"/>
          <w:color w:val="000000"/>
          <w:lang w:eastAsia="pl-PL"/>
        </w:rPr>
        <w:t>Oferowane urządzenie musi być fabrycznie nowe, posiadać deklarację zgodności i być oznakowane CE zgodnie z obowiązującymi przepisami</w:t>
      </w:r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D0" w:rsidRDefault="00E666D0" w:rsidP="00EC5804">
      <w:r>
        <w:separator/>
      </w:r>
    </w:p>
  </w:endnote>
  <w:endnote w:type="continuationSeparator" w:id="0">
    <w:p w:rsidR="00E666D0" w:rsidRDefault="00E666D0" w:rsidP="00E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C0D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0B43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D0" w:rsidRDefault="00E666D0" w:rsidP="00EC5804">
      <w:r>
        <w:separator/>
      </w:r>
    </w:p>
  </w:footnote>
  <w:footnote w:type="continuationSeparator" w:id="0">
    <w:p w:rsidR="00E666D0" w:rsidRDefault="00E666D0" w:rsidP="00EC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BEB"/>
    <w:multiLevelType w:val="hybridMultilevel"/>
    <w:tmpl w:val="E5BC21BE"/>
    <w:lvl w:ilvl="0" w:tplc="B2A4B3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F77"/>
    <w:multiLevelType w:val="hybridMultilevel"/>
    <w:tmpl w:val="500C4F84"/>
    <w:lvl w:ilvl="0" w:tplc="0DBADD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5E6C09"/>
    <w:multiLevelType w:val="hybridMultilevel"/>
    <w:tmpl w:val="0B48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D7F53"/>
    <w:multiLevelType w:val="hybridMultilevel"/>
    <w:tmpl w:val="768E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93F50A4"/>
    <w:multiLevelType w:val="hybridMultilevel"/>
    <w:tmpl w:val="500C4F84"/>
    <w:lvl w:ilvl="0" w:tplc="0DBADD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8E6592"/>
    <w:multiLevelType w:val="hybridMultilevel"/>
    <w:tmpl w:val="B66CC48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2993"/>
    <w:rsid w:val="00336A82"/>
    <w:rsid w:val="003461DD"/>
    <w:rsid w:val="003879D9"/>
    <w:rsid w:val="00393DAB"/>
    <w:rsid w:val="003F488F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3710"/>
    <w:rsid w:val="00BF4E32"/>
    <w:rsid w:val="00C00B0C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666D0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9D2F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88F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paragraph" w:customStyle="1" w:styleId="opisp">
    <w:name w:val="opisp"/>
    <w:basedOn w:val="Normalny"/>
    <w:rsid w:val="003F488F"/>
    <w:pPr>
      <w:spacing w:before="100" w:beforeAutospacing="1" w:after="100" w:afterAutospacing="1" w:line="190" w:lineRule="atLeast"/>
    </w:pPr>
    <w:rPr>
      <w:rFonts w:ascii="Arial" w:eastAsia="Times New Roman" w:hAnsi="Arial" w:cs="Arial"/>
      <w:color w:val="303132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3</cp:revision>
  <cp:lastPrinted>2018-08-31T10:10:00Z</cp:lastPrinted>
  <dcterms:created xsi:type="dcterms:W3CDTF">2019-08-01T09:30:00Z</dcterms:created>
  <dcterms:modified xsi:type="dcterms:W3CDTF">2019-08-01T09:31:00Z</dcterms:modified>
</cp:coreProperties>
</file>