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0F" w:rsidRPr="00AE6DD1" w:rsidRDefault="0046430F" w:rsidP="0046430F">
      <w:pPr>
        <w:jc w:val="right"/>
        <w:rPr>
          <w:rFonts w:asciiTheme="minorHAnsi" w:hAnsiTheme="minorHAnsi" w:cstheme="minorHAnsi"/>
        </w:rPr>
      </w:pPr>
      <w:r w:rsidRPr="00AE6DD1">
        <w:rPr>
          <w:rFonts w:asciiTheme="minorHAnsi" w:hAnsiTheme="minorHAnsi" w:cstheme="minorHAnsi"/>
        </w:rPr>
        <w:t>Załącznik nr 2</w:t>
      </w:r>
      <w:r w:rsidR="00CF4CEA">
        <w:rPr>
          <w:rFonts w:asciiTheme="minorHAnsi" w:hAnsiTheme="minorHAnsi" w:cstheme="minorHAnsi"/>
        </w:rPr>
        <w:t>c</w:t>
      </w:r>
      <w:r w:rsidRPr="00AE6DD1">
        <w:rPr>
          <w:rFonts w:asciiTheme="minorHAnsi" w:hAnsiTheme="minorHAnsi" w:cstheme="minorHAnsi"/>
        </w:rPr>
        <w:t xml:space="preserve"> do SIWZ</w:t>
      </w:r>
    </w:p>
    <w:p w:rsidR="0046430F" w:rsidRDefault="0046430F" w:rsidP="0046430F">
      <w:pPr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jc w:val="center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>SZCZEGÓŁOWY OPIS PRZEDMIOTU ZAMÓWIENIA</w:t>
      </w:r>
      <w:r w:rsidR="00CF4CEA">
        <w:rPr>
          <w:rFonts w:asciiTheme="minorHAnsi" w:hAnsiTheme="minorHAnsi" w:cstheme="minorHAnsi"/>
          <w:sz w:val="24"/>
        </w:rPr>
        <w:t xml:space="preserve"> – CZĘŚĆ III</w:t>
      </w:r>
    </w:p>
    <w:p w:rsidR="00452C26" w:rsidRP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F82B1C" w:rsidRDefault="00452C26" w:rsidP="00452C2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452C26">
        <w:rPr>
          <w:rFonts w:asciiTheme="minorHAnsi" w:hAnsiTheme="minorHAnsi" w:cstheme="minorHAnsi"/>
          <w:sz w:val="24"/>
        </w:rPr>
        <w:tab/>
        <w:t xml:space="preserve">Przedmiotem </w:t>
      </w:r>
      <w:r w:rsidRPr="00F82B1C">
        <w:rPr>
          <w:rFonts w:asciiTheme="minorHAnsi" w:hAnsiTheme="minorHAnsi" w:cstheme="minorHAnsi"/>
          <w:sz w:val="24"/>
        </w:rPr>
        <w:t xml:space="preserve">zamówienia </w:t>
      </w:r>
      <w:r w:rsidR="00CF4CEA">
        <w:rPr>
          <w:rFonts w:asciiTheme="minorHAnsi" w:hAnsiTheme="minorHAnsi" w:cstheme="minorHAnsi"/>
          <w:sz w:val="24"/>
        </w:rPr>
        <w:t>jest stanowisko</w:t>
      </w:r>
      <w:r w:rsidR="00584484" w:rsidRPr="00F82B1C">
        <w:rPr>
          <w:rFonts w:asciiTheme="minorHAnsi" w:hAnsiTheme="minorHAnsi" w:cstheme="minorHAnsi"/>
          <w:sz w:val="24"/>
        </w:rPr>
        <w:t xml:space="preserve"> do przeładowań</w:t>
      </w:r>
      <w:r w:rsidRPr="00F82B1C">
        <w:rPr>
          <w:rFonts w:asciiTheme="minorHAnsi" w:hAnsiTheme="minorHAnsi" w:cstheme="minorHAnsi"/>
          <w:sz w:val="24"/>
        </w:rPr>
        <w:t xml:space="preserve"> </w:t>
      </w:r>
    </w:p>
    <w:p w:rsidR="00CF4CEA" w:rsidRDefault="00CF4CEA" w:rsidP="00CF4C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584484" w:rsidRPr="00F82B1C" w:rsidRDefault="00584484" w:rsidP="00CF4C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Stanowisko do przeładowań w zakresie (ładowanie) 0,00 V ÷ 20,00 V do 150 A; (wyładowanie) 20,00 V ÷ 0,00 V do 150 A, sześć obwodów  z możliwością rozbudowy.</w:t>
      </w:r>
    </w:p>
    <w:p w:rsidR="00584484" w:rsidRPr="00F82B1C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F82B1C" w:rsidRDefault="00584484" w:rsidP="00584484">
      <w:pPr>
        <w:jc w:val="both"/>
        <w:rPr>
          <w:rFonts w:asciiTheme="minorHAnsi" w:hAnsiTheme="minorHAnsi" w:cstheme="minorHAnsi"/>
          <w:sz w:val="24"/>
          <w:u w:val="single"/>
        </w:rPr>
      </w:pPr>
      <w:r w:rsidRPr="00F82B1C">
        <w:rPr>
          <w:rFonts w:asciiTheme="minorHAnsi" w:hAnsiTheme="minorHAnsi" w:cstheme="minorHAnsi"/>
          <w:sz w:val="24"/>
          <w:u w:val="single"/>
        </w:rPr>
        <w:t>Opis stanowiska do przeładowań:</w:t>
      </w:r>
    </w:p>
    <w:p w:rsidR="00584484" w:rsidRPr="00F82B1C" w:rsidRDefault="00584484" w:rsidP="00584484">
      <w:pPr>
        <w:jc w:val="both"/>
        <w:rPr>
          <w:rFonts w:asciiTheme="minorHAnsi" w:hAnsiTheme="minorHAnsi" w:cstheme="minorHAnsi"/>
          <w:sz w:val="24"/>
        </w:rPr>
      </w:pPr>
      <w:r w:rsidRPr="00F82B1C">
        <w:rPr>
          <w:rFonts w:asciiTheme="minorHAnsi" w:hAnsiTheme="minorHAnsi" w:cstheme="minorHAnsi"/>
          <w:sz w:val="24"/>
        </w:rPr>
        <w:t>Tester wyposażony w niezbędne do pracy akcesoria, min. 6 obwodów badawczych każdy z możliwością ustawienia natężenia prądu w zakresie 1 A ÷ 150 A, napięcia w zakresie 0,00 V ÷ 20,00 V . Konieczna możliwość połączenia równoległego obwodów badawczych.</w:t>
      </w:r>
    </w:p>
    <w:p w:rsidR="00584484" w:rsidRPr="00F82B1C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Default="00452C26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82B1C">
        <w:rPr>
          <w:rFonts w:asciiTheme="minorHAnsi" w:hAnsiTheme="minorHAnsi" w:cstheme="minorHAnsi"/>
          <w:b/>
          <w:sz w:val="24"/>
          <w:szCs w:val="24"/>
        </w:rPr>
        <w:t xml:space="preserve">Parametry techniczne </w:t>
      </w:r>
      <w:r w:rsidRPr="00F82B1C">
        <w:rPr>
          <w:rFonts w:asciiTheme="minorHAnsi" w:hAnsiTheme="minorHAnsi" w:cstheme="minorHAnsi"/>
          <w:b/>
          <w:sz w:val="24"/>
        </w:rPr>
        <w:t>stanowiska do przeładowań</w:t>
      </w:r>
      <w:r w:rsidRPr="00F82B1C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:rsidR="00584484" w:rsidRPr="00F82B1C" w:rsidRDefault="00584484" w:rsidP="00584484">
      <w:pPr>
        <w:pStyle w:val="Standard"/>
        <w:autoSpaceDE w:val="0"/>
        <w:adjustRightInd w:val="0"/>
        <w:jc w:val="both"/>
        <w:rPr>
          <w:rFonts w:asciiTheme="minorHAnsi" w:hAnsiTheme="minorHAnsi" w:cstheme="minorHAnsi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Zasilanie urządzenia i moc</w:t>
      </w: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 xml:space="preserve">Urządzenie powinno być zasilane z gniazda trójfazowego 400 V, linia </w:t>
      </w:r>
      <w:r w:rsidRPr="00F84014">
        <w:rPr>
          <w:rFonts w:asciiTheme="minorHAnsi" w:hAnsiTheme="minorHAnsi" w:cstheme="minorHAnsi"/>
          <w:sz w:val="24"/>
          <w:szCs w:val="24"/>
        </w:rPr>
        <w:t xml:space="preserve">zasilająca </w:t>
      </w:r>
      <w:r w:rsidR="00F25C88" w:rsidRPr="00F84014">
        <w:rPr>
          <w:rFonts w:asciiTheme="minorHAnsi" w:hAnsiTheme="minorHAnsi" w:cstheme="minorHAnsi"/>
          <w:sz w:val="24"/>
          <w:szCs w:val="24"/>
        </w:rPr>
        <w:t>12</w:t>
      </w:r>
      <w:r w:rsidRPr="00F84014">
        <w:rPr>
          <w:rFonts w:asciiTheme="minorHAnsi" w:hAnsiTheme="minorHAnsi" w:cstheme="minorHAnsi"/>
          <w:sz w:val="24"/>
          <w:szCs w:val="24"/>
        </w:rPr>
        <w:t xml:space="preserve"> kVA. Moc</w:t>
      </w:r>
      <w:r w:rsidRPr="00F82B1C">
        <w:rPr>
          <w:rFonts w:asciiTheme="minorHAnsi" w:hAnsiTheme="minorHAnsi" w:cstheme="minorHAnsi"/>
          <w:sz w:val="24"/>
          <w:szCs w:val="24"/>
        </w:rPr>
        <w:t xml:space="preserve"> ciągła 1,8 kW dla każdego obwodu testowego, ilość obwodów testowych minimum 6.</w:t>
      </w:r>
    </w:p>
    <w:p w:rsidR="00584484" w:rsidRPr="00F82B1C" w:rsidRDefault="00584484" w:rsidP="005844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Dane techniczne jednego obwodu testowego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prądu w trakcie ładowania – 1,00 A ÷ 150,00 A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prądu w trakcie wyładowania – 1,00 A ÷ 150,00 A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napięcia w trakcie ładowania – 0,00 V ÷ 20,00 V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Zakres napięcia w trakcie wyładowania – 20,00 V ÷ 0,00 V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Czas narastania prądu 10-90 % &lt; 5 ms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Dokładność w pełnej skali ± 0,1 %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Rozdzielczość (U, I) ± 15 bitów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Szybkość akwizycji danych 30 ms</w:t>
      </w:r>
    </w:p>
    <w:p w:rsidR="00584484" w:rsidRPr="00F82B1C" w:rsidRDefault="00584484" w:rsidP="00584484">
      <w:pPr>
        <w:pStyle w:val="Standard"/>
        <w:numPr>
          <w:ilvl w:val="0"/>
          <w:numId w:val="5"/>
        </w:numPr>
        <w:rPr>
          <w:rFonts w:asciiTheme="minorHAnsi" w:hAnsiTheme="minorHAnsi" w:cstheme="minorHAnsi"/>
        </w:rPr>
      </w:pPr>
      <w:r w:rsidRPr="00F82B1C">
        <w:rPr>
          <w:rFonts w:asciiTheme="minorHAnsi" w:hAnsiTheme="minorHAnsi" w:cstheme="minorHAnsi"/>
        </w:rPr>
        <w:t>Możliwość łączenia obwodów testowych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Możliwość wznowienia testu po awarii zasilania</w:t>
      </w:r>
    </w:p>
    <w:p w:rsidR="00584484" w:rsidRPr="00F82B1C" w:rsidRDefault="00584484" w:rsidP="00584484">
      <w:pPr>
        <w:pStyle w:val="Standard"/>
        <w:ind w:left="720"/>
        <w:rPr>
          <w:rFonts w:asciiTheme="minorHAnsi" w:hAnsiTheme="minorHAnsi" w:cstheme="minorHAnsi"/>
        </w:rPr>
      </w:pPr>
    </w:p>
    <w:p w:rsidR="00584484" w:rsidRPr="00F82B1C" w:rsidRDefault="00584484" w:rsidP="00584484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Wyposażenie dodatkowe dla jednego obwodu testowego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System chłodzenia powietrzem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Przycisk zatrzymania awaryjnego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Oprogramowanie sterujące z możliwością szerokiej interpretacji, prezentacji (wizualiz</w:t>
      </w:r>
      <w:r w:rsidR="00CF4CEA">
        <w:rPr>
          <w:rFonts w:asciiTheme="minorHAnsi" w:hAnsiTheme="minorHAnsi" w:cstheme="minorHAnsi"/>
          <w:sz w:val="24"/>
          <w:szCs w:val="24"/>
        </w:rPr>
        <w:t>acji) oraz archiwizacji danych</w:t>
      </w:r>
      <w:bookmarkStart w:id="0" w:name="_GoBack"/>
      <w:bookmarkEnd w:id="0"/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lastRenderedPageBreak/>
        <w:t xml:space="preserve"> Możliwość instalowania oprogramowania na nieograniczonej liczbie jednostek sterujących.</w:t>
      </w:r>
    </w:p>
    <w:p w:rsidR="00584484" w:rsidRPr="00F82B1C" w:rsidRDefault="00584484" w:rsidP="0058448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82B1C">
        <w:rPr>
          <w:rFonts w:asciiTheme="minorHAnsi" w:hAnsiTheme="minorHAnsi" w:cstheme="minorHAnsi"/>
          <w:sz w:val="24"/>
          <w:szCs w:val="24"/>
        </w:rPr>
        <w:t>Możliwość przeprowadzania kalibracji w miejscu użytkowania urządzenia</w:t>
      </w:r>
    </w:p>
    <w:p w:rsidR="00584484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584484" w:rsidRPr="00452C26" w:rsidRDefault="00584484" w:rsidP="00452C26">
      <w:pPr>
        <w:jc w:val="both"/>
        <w:rPr>
          <w:rFonts w:asciiTheme="minorHAnsi" w:hAnsiTheme="minorHAnsi" w:cstheme="minorHAnsi"/>
          <w:sz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Warunki gwarancji</w:t>
      </w:r>
    </w:p>
    <w:p w:rsidR="00452C26" w:rsidRPr="00CF4CEA" w:rsidRDefault="00452C26" w:rsidP="00CF4CEA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Minimalny okres gwarancji: 12 miesięcy,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Gwarancja producenta na części i robociznę z dojazdem na miejsce eksploatacji </w:t>
      </w:r>
    </w:p>
    <w:p w:rsidR="00452C26" w:rsidRPr="00452C26" w:rsidRDefault="00452C26" w:rsidP="00452C26">
      <w:pPr>
        <w:pStyle w:val="Akapitzlist1"/>
        <w:numPr>
          <w:ilvl w:val="0"/>
          <w:numId w:val="2"/>
        </w:numPr>
        <w:spacing w:after="0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>Wszelkie koszty związane z serwisem gwarancyjnym ponosi Wykonawca,</w:t>
      </w:r>
    </w:p>
    <w:p w:rsidR="00452C26" w:rsidRPr="00452C26" w:rsidRDefault="00452C26" w:rsidP="00452C2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349"/>
        <w:jc w:val="both"/>
        <w:rPr>
          <w:rFonts w:asciiTheme="minorHAnsi" w:hAnsiTheme="minorHAnsi" w:cstheme="minorHAnsi"/>
          <w:sz w:val="24"/>
          <w:szCs w:val="24"/>
        </w:rPr>
      </w:pPr>
    </w:p>
    <w:p w:rsidR="00452C26" w:rsidRPr="00452C26" w:rsidRDefault="00452C26" w:rsidP="00452C26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52C26">
        <w:rPr>
          <w:rFonts w:asciiTheme="minorHAnsi" w:hAnsiTheme="minorHAnsi" w:cstheme="minorHAnsi"/>
          <w:sz w:val="24"/>
          <w:szCs w:val="24"/>
          <w:u w:val="single"/>
        </w:rPr>
        <w:t>Informacje dodatkowe</w:t>
      </w:r>
    </w:p>
    <w:p w:rsidR="00452C26" w:rsidRPr="00F84014" w:rsidRDefault="00452C26" w:rsidP="00452C26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52C26">
        <w:rPr>
          <w:rFonts w:asciiTheme="minorHAnsi" w:hAnsiTheme="minorHAnsi" w:cstheme="minorHAnsi"/>
          <w:sz w:val="24"/>
          <w:szCs w:val="24"/>
        </w:rPr>
        <w:t xml:space="preserve">Stanowisko umieszczone zostanie w </w:t>
      </w:r>
      <w:r w:rsidRPr="00F84014">
        <w:rPr>
          <w:rFonts w:asciiTheme="minorHAnsi" w:hAnsiTheme="minorHAnsi" w:cstheme="minorHAnsi"/>
          <w:sz w:val="24"/>
          <w:szCs w:val="24"/>
        </w:rPr>
        <w:t xml:space="preserve">pomieszczeniu wskazanym przez Zamawiającego, </w:t>
      </w:r>
    </w:p>
    <w:p w:rsidR="00790505" w:rsidRPr="00F84014" w:rsidRDefault="00452C26" w:rsidP="00790505">
      <w:pPr>
        <w:pStyle w:val="Akapitzlist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F84014">
        <w:rPr>
          <w:rFonts w:asciiTheme="minorHAnsi" w:hAnsiTheme="minorHAnsi" w:cstheme="minorHAnsi"/>
          <w:sz w:val="24"/>
          <w:szCs w:val="24"/>
        </w:rPr>
        <w:t xml:space="preserve">Dostawa Stanowiska obejmować będzie również: instalację, uruchomienie, przeprowadzenie prób i szkolenia 10 osób, przekazanie instrukcji obsługi w języku polskim </w:t>
      </w:r>
      <w:r w:rsidR="00F25C88" w:rsidRPr="00F84014">
        <w:rPr>
          <w:rFonts w:asciiTheme="minorHAnsi" w:hAnsiTheme="minorHAnsi" w:cstheme="minorHAnsi"/>
          <w:sz w:val="24"/>
          <w:szCs w:val="24"/>
        </w:rPr>
        <w:t xml:space="preserve">lub angielskim </w:t>
      </w:r>
      <w:r w:rsidRPr="00F84014">
        <w:rPr>
          <w:rFonts w:asciiTheme="minorHAnsi" w:hAnsiTheme="minorHAnsi" w:cstheme="minorHAnsi"/>
          <w:sz w:val="24"/>
          <w:szCs w:val="24"/>
        </w:rPr>
        <w:t>i dokumentacji techniczno-ruchowej.</w:t>
      </w: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rPr>
          <w:rFonts w:ascii="Calibri" w:hAnsi="Calibri"/>
          <w:szCs w:val="20"/>
        </w:rPr>
      </w:pPr>
    </w:p>
    <w:p w:rsidR="00790505" w:rsidRDefault="00790505" w:rsidP="00790505">
      <w:pPr>
        <w:rPr>
          <w:rFonts w:ascii="Calibri" w:hAnsi="Calibri"/>
          <w:szCs w:val="20"/>
        </w:rPr>
      </w:pPr>
    </w:p>
    <w:p w:rsidR="00790505" w:rsidRPr="003B3F44" w:rsidRDefault="00790505" w:rsidP="00790505">
      <w:pPr>
        <w:jc w:val="center"/>
        <w:rPr>
          <w:rFonts w:ascii="Calibri" w:hAnsi="Calibri"/>
          <w:szCs w:val="20"/>
        </w:rPr>
      </w:pPr>
    </w:p>
    <w:p w:rsidR="006E7787" w:rsidRDefault="00B95E29"/>
    <w:sectPr w:rsidR="006E7787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29" w:rsidRDefault="00B95E29" w:rsidP="00790505">
      <w:pPr>
        <w:spacing w:line="240" w:lineRule="auto"/>
      </w:pPr>
      <w:r>
        <w:separator/>
      </w:r>
    </w:p>
  </w:endnote>
  <w:endnote w:type="continuationSeparator" w:id="0">
    <w:p w:rsidR="00B95E29" w:rsidRDefault="00B95E29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B95E2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B95E29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29" w:rsidRDefault="00B95E29" w:rsidP="00790505">
      <w:pPr>
        <w:spacing w:line="240" w:lineRule="auto"/>
      </w:pPr>
      <w:r>
        <w:separator/>
      </w:r>
    </w:p>
  </w:footnote>
  <w:footnote w:type="continuationSeparator" w:id="0">
    <w:p w:rsidR="00B95E29" w:rsidRDefault="00B95E29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163DD"/>
    <w:rsid w:val="000B1242"/>
    <w:rsid w:val="00136C59"/>
    <w:rsid w:val="00291552"/>
    <w:rsid w:val="003D392C"/>
    <w:rsid w:val="00441FC2"/>
    <w:rsid w:val="00452C26"/>
    <w:rsid w:val="0046430F"/>
    <w:rsid w:val="00584484"/>
    <w:rsid w:val="006D736F"/>
    <w:rsid w:val="00790505"/>
    <w:rsid w:val="007C4B87"/>
    <w:rsid w:val="0081637A"/>
    <w:rsid w:val="008439CA"/>
    <w:rsid w:val="008828BC"/>
    <w:rsid w:val="0093645B"/>
    <w:rsid w:val="00AF3122"/>
    <w:rsid w:val="00B825B6"/>
    <w:rsid w:val="00B95E29"/>
    <w:rsid w:val="00BF3E8B"/>
    <w:rsid w:val="00C76952"/>
    <w:rsid w:val="00CD3E12"/>
    <w:rsid w:val="00CF4CEA"/>
    <w:rsid w:val="00D27C34"/>
    <w:rsid w:val="00E03A55"/>
    <w:rsid w:val="00E66817"/>
    <w:rsid w:val="00F25C88"/>
    <w:rsid w:val="00F45CC1"/>
    <w:rsid w:val="00F82B1C"/>
    <w:rsid w:val="00F84014"/>
    <w:rsid w:val="00FB580D"/>
    <w:rsid w:val="00FE7CB2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FD16B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52C26"/>
    <w:pPr>
      <w:spacing w:after="200"/>
      <w:ind w:left="708"/>
    </w:pPr>
    <w:rPr>
      <w:rFonts w:ascii="Calibri" w:hAnsi="Calibri" w:cs="Times New Roman"/>
    </w:rPr>
  </w:style>
  <w:style w:type="paragraph" w:customStyle="1" w:styleId="Akapitzlist1">
    <w:name w:val="Akapit z listą1"/>
    <w:basedOn w:val="Normalny"/>
    <w:rsid w:val="00452C26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52C26"/>
    <w:rPr>
      <w:rFonts w:ascii="Calibri" w:eastAsia="Calibri" w:hAnsi="Calibri"/>
      <w:sz w:val="22"/>
      <w:szCs w:val="22"/>
    </w:rPr>
  </w:style>
  <w:style w:type="paragraph" w:customStyle="1" w:styleId="Standard">
    <w:name w:val="Standard"/>
    <w:rsid w:val="00452C26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2019-11-08T20:00:00Z</dcterms:created>
  <dcterms:modified xsi:type="dcterms:W3CDTF">2019-11-08T20:00:00Z</dcterms:modified>
</cp:coreProperties>
</file>