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68" w:rsidRPr="00067C2A" w:rsidRDefault="00A35C68" w:rsidP="008C4CD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Nr referencyjny nadany sprawie</w:t>
      </w: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7</w:t>
      </w:r>
      <w:r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rsidR="00A35C68" w:rsidRPr="00067C2A" w:rsidRDefault="00A35C68" w:rsidP="00A35C68">
      <w:pPr>
        <w:contextualSpacing/>
        <w:rPr>
          <w:rFonts w:asciiTheme="minorHAnsi" w:eastAsia="Times New Roman" w:hAnsiTheme="minorHAnsi" w:cstheme="minorHAnsi"/>
          <w:b/>
          <w:color w:val="000000" w:themeColor="text1"/>
          <w:sz w:val="24"/>
          <w:szCs w:val="24"/>
          <w:lang w:eastAsia="pl-PL"/>
        </w:rPr>
      </w:pP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35C68" w:rsidRPr="00067C2A" w:rsidRDefault="00A35C68" w:rsidP="00A35C68">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375E3A" w:rsidRDefault="00A35C68" w:rsidP="00A35C68">
      <w:pPr>
        <w:spacing w:line="240" w:lineRule="auto"/>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dostawę</w:t>
      </w:r>
      <w:r w:rsidRPr="00375E3A">
        <w:rPr>
          <w:rFonts w:asciiTheme="minorHAnsi" w:hAnsiTheme="minorHAnsi" w:cstheme="minorHAnsi"/>
          <w:b/>
          <w:color w:val="000000" w:themeColor="text1"/>
          <w:sz w:val="28"/>
          <w:szCs w:val="28"/>
          <w:lang w:eastAsia="pl-PL"/>
        </w:rPr>
        <w:t xml:space="preserve"> energii elektrycznej i świadczenie usług dystrybucji energii elektrycznej dla  Sieci Badawczej Łukasiewicza - Instytutu Metali Nieżelaznych Oddział w Poznaniu Centralne Laboratorium Akumulatorów i Ogniw  </w:t>
      </w:r>
      <w:r>
        <w:rPr>
          <w:rFonts w:asciiTheme="minorHAnsi" w:hAnsiTheme="minorHAnsi" w:cstheme="minorHAnsi"/>
          <w:b/>
          <w:color w:val="000000" w:themeColor="text1"/>
          <w:sz w:val="28"/>
          <w:szCs w:val="28"/>
          <w:lang w:eastAsia="pl-PL"/>
        </w:rPr>
        <w:br/>
      </w:r>
      <w:r w:rsidRPr="00375E3A">
        <w:rPr>
          <w:rFonts w:asciiTheme="minorHAnsi" w:hAnsiTheme="minorHAnsi" w:cstheme="minorHAnsi"/>
          <w:b/>
          <w:color w:val="000000" w:themeColor="text1"/>
          <w:sz w:val="28"/>
          <w:szCs w:val="28"/>
          <w:lang w:eastAsia="pl-PL"/>
        </w:rPr>
        <w:t>w okresie od 01-01 2021 do 31-12-2021 roku.</w:t>
      </w:r>
    </w:p>
    <w:p w:rsidR="00A35C68" w:rsidRPr="00EA33CE" w:rsidRDefault="00A35C68" w:rsidP="00A35C68">
      <w:pPr>
        <w:spacing w:line="240" w:lineRule="auto"/>
        <w:contextualSpacing/>
        <w:jc w:val="center"/>
        <w:rPr>
          <w:rFonts w:asciiTheme="minorHAnsi" w:hAnsiTheme="minorHAnsi" w:cstheme="minorHAnsi"/>
          <w:b/>
          <w:color w:val="000000" w:themeColor="text1"/>
          <w:sz w:val="28"/>
          <w:szCs w:val="28"/>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listopad 2020</w:t>
      </w:r>
      <w:r w:rsidRPr="00067C2A">
        <w:rPr>
          <w:rFonts w:asciiTheme="minorHAnsi" w:hAnsiTheme="minorHAnsi" w:cstheme="minorHAnsi"/>
          <w:b/>
          <w:sz w:val="24"/>
          <w:szCs w:val="24"/>
          <w:lang w:eastAsia="pl-PL"/>
        </w:rPr>
        <w:t xml:space="preserve"> r.</w:t>
      </w: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35C68" w:rsidRPr="00067C2A" w:rsidRDefault="00A35C68" w:rsidP="00A35C68">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35C68" w:rsidRPr="00067C2A" w:rsidRDefault="00A35C68" w:rsidP="00A35C68">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8" w:history="1">
        <w:r w:rsidRPr="00067C2A">
          <w:rPr>
            <w:rStyle w:val="Hipercze"/>
            <w:rFonts w:asciiTheme="minorHAnsi" w:eastAsia="Times New Roman" w:hAnsiTheme="minorHAnsi" w:cstheme="minorHAnsi"/>
            <w:sz w:val="24"/>
            <w:szCs w:val="24"/>
            <w:lang w:val="en-US" w:eastAsia="pl-PL"/>
          </w:rPr>
          <w:t>przetargi@claio.poznan.pl</w:t>
        </w:r>
      </w:hyperlink>
    </w:p>
    <w:p w:rsidR="00A35C68" w:rsidRPr="00067C2A" w:rsidRDefault="00A35C68" w:rsidP="00A35C68">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35C68" w:rsidRPr="00067C2A" w:rsidRDefault="00A35C68" w:rsidP="00A35C68">
      <w:pPr>
        <w:ind w:left="426"/>
        <w:contextualSpacing/>
        <w:jc w:val="both"/>
        <w:rPr>
          <w:rFonts w:asciiTheme="minorHAnsi" w:eastAsia="Times New Roman" w:hAnsiTheme="minorHAnsi" w:cstheme="minorHAnsi"/>
          <w:color w:val="000000" w:themeColor="text1"/>
          <w:sz w:val="24"/>
          <w:szCs w:val="24"/>
          <w:lang w:eastAsia="pl-PL"/>
        </w:rPr>
      </w:pPr>
    </w:p>
    <w:p w:rsidR="00A35C68" w:rsidRPr="00067C2A" w:rsidRDefault="00A35C68" w:rsidP="00A35C68">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7/PN/2020</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35C68" w:rsidRPr="00067C2A" w:rsidRDefault="00A35C68" w:rsidP="00A35C68">
      <w:pPr>
        <w:ind w:left="426"/>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35C68" w:rsidRPr="00067C2A" w:rsidRDefault="00A35C68" w:rsidP="00A35C68">
      <w:pPr>
        <w:ind w:left="426"/>
        <w:contextualSpacing/>
        <w:jc w:val="both"/>
        <w:rPr>
          <w:rFonts w:asciiTheme="minorHAnsi" w:hAnsiTheme="minorHAnsi" w:cstheme="minorHAnsi"/>
          <w:b/>
          <w:sz w:val="24"/>
          <w:szCs w:val="24"/>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35C68" w:rsidRPr="00067C2A" w:rsidRDefault="00A35C68" w:rsidP="00A35C68">
      <w:pPr>
        <w:spacing w:after="150"/>
        <w:ind w:left="426"/>
        <w:rPr>
          <w:rFonts w:asciiTheme="minorHAnsi" w:hAnsiTheme="minorHAnsi" w:cstheme="minorHAnsi"/>
          <w:b/>
          <w:sz w:val="24"/>
          <w:szCs w:val="24"/>
        </w:rPr>
      </w:pPr>
    </w:p>
    <w:p w:rsidR="00A35C68" w:rsidRPr="00067C2A" w:rsidRDefault="00A35C68" w:rsidP="00A35C68">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p>
    <w:p w:rsidR="00A35C68" w:rsidRPr="00067C2A" w:rsidRDefault="00A35C68" w:rsidP="00A35C68">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9" w:history="1">
        <w:r w:rsidRPr="00067C2A">
          <w:rPr>
            <w:rStyle w:val="Hipercze"/>
            <w:rFonts w:asciiTheme="minorHAnsi" w:hAnsiTheme="minorHAnsi" w:cstheme="minorHAnsi"/>
            <w:sz w:val="24"/>
            <w:szCs w:val="24"/>
          </w:rPr>
          <w:t>iod@imn.gliwice.pl</w:t>
        </w:r>
      </w:hyperlink>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p>
    <w:p w:rsidR="00A35C68" w:rsidRPr="00067C2A"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35C68" w:rsidRPr="007C2366"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Pr="007C2366">
        <w:rPr>
          <w:rFonts w:asciiTheme="minorHAnsi" w:eastAsia="Times New Roman" w:hAnsiTheme="minorHAnsi" w:cstheme="minorHAnsi"/>
          <w:sz w:val="24"/>
          <w:szCs w:val="24"/>
          <w:lang w:eastAsia="pl-PL"/>
        </w:rPr>
        <w:t>Sieć Badawczą Łukasiewicz – Instytut Metali Nieżelaznych</w:t>
      </w:r>
      <w:r w:rsidRPr="007C2366">
        <w:rPr>
          <w:rFonts w:asciiTheme="minorHAnsi" w:hAnsiTheme="minorHAnsi" w:cstheme="minorHAnsi"/>
          <w:sz w:val="24"/>
          <w:szCs w:val="24"/>
        </w:rPr>
        <w:t xml:space="preserve"> w rozwiązania techniczne oraz organizacyjne, </w:t>
      </w:r>
      <w:r w:rsidRPr="007C2366">
        <w:rPr>
          <w:rFonts w:asciiTheme="minorHAnsi" w:hAnsiTheme="minorHAnsi" w:cstheme="minorHAnsi"/>
          <w:sz w:val="24"/>
          <w:szCs w:val="24"/>
        </w:rPr>
        <w:lastRenderedPageBreak/>
        <w:t xml:space="preserve">umożliwiające zarządzanie </w:t>
      </w:r>
      <w:r w:rsidRPr="007C2366">
        <w:rPr>
          <w:rFonts w:asciiTheme="minorHAnsi" w:eastAsia="Times New Roman" w:hAnsiTheme="minorHAnsi" w:cstheme="minorHAnsi"/>
          <w:sz w:val="24"/>
          <w:szCs w:val="24"/>
          <w:lang w:eastAsia="pl-PL"/>
        </w:rPr>
        <w:t>Siecią Badawczą Łukasiewicz – 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 xml:space="preserve">prawo sprzeciwu wobec przetwarzania danych osobowych na podstawie art. 21 RODO, gdyż podstawą prawną przetwarzania Państwa danych osobowych jest art. 6 ust. 1 lit. c RODO. </w:t>
      </w:r>
    </w:p>
    <w:p w:rsidR="00A35C68" w:rsidRPr="007C2366" w:rsidRDefault="00A35C68" w:rsidP="00A35C68">
      <w:pPr>
        <w:pStyle w:val="Akapitzlist"/>
        <w:spacing w:after="150"/>
        <w:rPr>
          <w:rFonts w:cstheme="minorHAnsi"/>
          <w:highlight w:val="yellow"/>
        </w:rPr>
      </w:pPr>
    </w:p>
    <w:p w:rsidR="00A35C68" w:rsidRPr="007C2366" w:rsidRDefault="00A35C68" w:rsidP="00A35C68">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rsidR="00A35C68" w:rsidRPr="007C2366" w:rsidRDefault="00A35C68" w:rsidP="00A35C68">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8C4CD7">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lastRenderedPageBreak/>
        <w:t>Tryb udzielenia zamówienia publicznego</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Pr="00860236">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nieprzekraczającej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rsidR="00A35C68" w:rsidRDefault="00A35C68" w:rsidP="00A35C68">
      <w:pPr>
        <w:widowControl w:val="0"/>
        <w:autoSpaceDE w:val="0"/>
        <w:autoSpaceDN w:val="0"/>
        <w:adjustRightInd w:val="0"/>
        <w:spacing w:line="240" w:lineRule="auto"/>
        <w:jc w:val="both"/>
        <w:rPr>
          <w:rFonts w:asciiTheme="minorHAnsi" w:hAnsiTheme="minorHAnsi" w:cstheme="minorHAnsi"/>
          <w:bCs/>
          <w:sz w:val="24"/>
          <w:szCs w:val="24"/>
        </w:rPr>
      </w:pPr>
      <w:r w:rsidRPr="0037210C">
        <w:rPr>
          <w:rFonts w:asciiTheme="minorHAnsi" w:hAnsiTheme="minorHAnsi" w:cstheme="minorHAnsi"/>
          <w:sz w:val="24"/>
          <w:szCs w:val="24"/>
        </w:rPr>
        <w:t xml:space="preserve">Przedmiotem zamówienia jest </w:t>
      </w:r>
      <w:r w:rsidRPr="0037210C">
        <w:rPr>
          <w:rFonts w:asciiTheme="minorHAnsi" w:hAnsiTheme="minorHAnsi" w:cstheme="minorHAnsi"/>
          <w:bCs/>
          <w:sz w:val="24"/>
          <w:szCs w:val="24"/>
        </w:rPr>
        <w:t xml:space="preserve">wykonanie </w:t>
      </w:r>
      <w:r w:rsidRPr="0037210C">
        <w:rPr>
          <w:rFonts w:asciiTheme="minorHAnsi" w:hAnsiTheme="minorHAnsi" w:cstheme="minorHAnsi"/>
          <w:sz w:val="24"/>
          <w:szCs w:val="24"/>
        </w:rPr>
        <w:t>kompleksowej dostawy energii elektrycznej obejmującej sprzedaż oraz świadczenie usługi przesyłania i dystrybucji</w:t>
      </w:r>
      <w:r w:rsidRPr="0037210C">
        <w:rPr>
          <w:rFonts w:asciiTheme="minorHAnsi" w:hAnsiTheme="minorHAnsi" w:cstheme="minorHAnsi"/>
          <w:bCs/>
          <w:sz w:val="24"/>
          <w:szCs w:val="24"/>
        </w:rPr>
        <w:t xml:space="preserve"> energii elektrycznej  dla  Sieci Badawczej Łukasiewicza - Instytutu Metali Nieżelaznych Oddział w Poznaniu Centralne Laboratorium Akumulatorów i Ogniw</w:t>
      </w:r>
      <w:r>
        <w:rPr>
          <w:rFonts w:asciiTheme="minorHAnsi" w:hAnsiTheme="minorHAnsi" w:cstheme="minorHAnsi"/>
          <w:bCs/>
          <w:sz w:val="24"/>
          <w:szCs w:val="24"/>
        </w:rPr>
        <w:t xml:space="preserve"> w</w:t>
      </w:r>
      <w:r w:rsidRPr="0037210C">
        <w:rPr>
          <w:rFonts w:asciiTheme="minorHAnsi" w:hAnsiTheme="minorHAnsi" w:cstheme="minorHAnsi"/>
          <w:bCs/>
          <w:sz w:val="24"/>
          <w:szCs w:val="24"/>
        </w:rPr>
        <w:t xml:space="preserve"> okresie</w:t>
      </w:r>
      <w:r>
        <w:rPr>
          <w:rFonts w:asciiTheme="minorHAnsi" w:hAnsiTheme="minorHAnsi" w:cstheme="minorHAnsi"/>
          <w:bCs/>
          <w:sz w:val="24"/>
          <w:szCs w:val="24"/>
        </w:rPr>
        <w:t xml:space="preserve"> 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7210C" w:rsidRDefault="00A35C68" w:rsidP="00A35C68">
      <w:pPr>
        <w:jc w:val="both"/>
        <w:rPr>
          <w:rFonts w:asciiTheme="minorHAnsi" w:hAnsiTheme="minorHAnsi" w:cstheme="minorHAnsi"/>
          <w:sz w:val="24"/>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Warunki techniczne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 xml:space="preserve">Punkt poboru energii Sieć Badawcza Łukasiewicza -  Instytut Metali Nieżelaznych Odział w Poznaniu Centralne Laboratorium Akumulatorów i Ogniw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Forteczna 12, 61-362 Poznań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2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Kręta 12, Wierzenica, 62-006 Kobylnica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Moc umowna:</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1 Poznań (licznik  nr 42203139) Moc umowna 250 kW </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2 Wierzenica (licznik  nr 42202986) Moc umowna 120 kW  </w:t>
      </w:r>
    </w:p>
    <w:p w:rsidR="00A35C68"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Szacowane roczne zużycie energii elektrycznej:</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 Poznań - 600 MWh </w:t>
      </w:r>
    </w:p>
    <w:p w:rsidR="00A35C68"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nr 2 – Wierzenica -  250 MWh</w:t>
      </w:r>
      <w:r>
        <w:rPr>
          <w:rFonts w:asciiTheme="minorHAnsi" w:hAnsiTheme="minorHAnsi" w:cstheme="minorHAnsi"/>
          <w:bCs/>
          <w:sz w:val="24"/>
          <w:szCs w:val="24"/>
        </w:rPr>
        <w:t>, w tym:</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 xml:space="preserve">strefa szczytowa – 80MWh; </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strefa pozaszczytowa – 170 MWh</w:t>
      </w:r>
    </w:p>
    <w:p w:rsidR="00A35C68" w:rsidRPr="00355894" w:rsidRDefault="00A35C68" w:rsidP="00A35C68">
      <w:pPr>
        <w:jc w:val="both"/>
        <w:rPr>
          <w:rFonts w:asciiTheme="minorHAnsi" w:hAnsiTheme="minorHAnsi" w:cstheme="minorHAnsi"/>
          <w:bCs/>
          <w:sz w:val="28"/>
          <w:szCs w:val="24"/>
        </w:rPr>
      </w:pPr>
      <w:r w:rsidRPr="00355894">
        <w:rPr>
          <w:rFonts w:asciiTheme="minorHAnsi" w:hAnsiTheme="minorHAnsi" w:cstheme="minorHAnsi"/>
          <w:sz w:val="24"/>
        </w:rPr>
        <w:t>Ilość zamówienia jest wielkością szacunkową i nie może stanowić podstawy do wnoszenia przez Wykonawcę jakich</w:t>
      </w:r>
      <w:r>
        <w:rPr>
          <w:rFonts w:asciiTheme="minorHAnsi" w:hAnsiTheme="minorHAnsi" w:cstheme="minorHAnsi"/>
          <w:sz w:val="24"/>
        </w:rPr>
        <w:t>k</w:t>
      </w:r>
      <w:r w:rsidRPr="00355894">
        <w:rPr>
          <w:rFonts w:asciiTheme="minorHAnsi" w:hAnsiTheme="minorHAnsi" w:cstheme="minorHAnsi"/>
          <w:sz w:val="24"/>
        </w:rPr>
        <w:t>olwiek roszczeń co do zakupionej faktycznie energii. Stąd</w:t>
      </w:r>
      <w:r>
        <w:rPr>
          <w:rFonts w:asciiTheme="minorHAnsi" w:hAnsiTheme="minorHAnsi" w:cstheme="minorHAnsi"/>
          <w:sz w:val="24"/>
        </w:rPr>
        <w:t xml:space="preserve"> Wykonawcy nie będzie przysłu</w:t>
      </w:r>
      <w:r w:rsidRPr="00355894">
        <w:rPr>
          <w:rFonts w:asciiTheme="minorHAnsi" w:hAnsiTheme="minorHAnsi" w:cstheme="minorHAnsi"/>
          <w:sz w:val="24"/>
        </w:rPr>
        <w:t>giwało odszkodowanie z tytułu ewentualnej różnicy w ilościach między przewidywaną z faktycznie zakupioną przez Zamawiającego energią.</w:t>
      </w:r>
    </w:p>
    <w:p w:rsidR="00A35C68" w:rsidRPr="0037210C"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sz w:val="24"/>
          <w:szCs w:val="24"/>
        </w:rPr>
        <w:t>Taryfa OSD dla obszaru;</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1 – Poznań  B21  -  jednostrefowa taryfa ze stałą stawką </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2 </w:t>
      </w:r>
      <w:r>
        <w:rPr>
          <w:rFonts w:asciiTheme="minorHAnsi" w:hAnsiTheme="minorHAnsi" w:cstheme="minorHAnsi"/>
          <w:sz w:val="24"/>
          <w:szCs w:val="24"/>
        </w:rPr>
        <w:t xml:space="preserve">– </w:t>
      </w:r>
      <w:r w:rsidRPr="0037210C">
        <w:rPr>
          <w:rFonts w:asciiTheme="minorHAnsi" w:hAnsiTheme="minorHAnsi" w:cstheme="minorHAnsi"/>
          <w:sz w:val="24"/>
          <w:szCs w:val="24"/>
        </w:rPr>
        <w:t xml:space="preserve">Wierzenica B22 </w:t>
      </w:r>
      <w:r>
        <w:rPr>
          <w:rFonts w:asciiTheme="minorHAnsi" w:hAnsiTheme="minorHAnsi" w:cstheme="minorHAnsi"/>
          <w:sz w:val="24"/>
          <w:szCs w:val="24"/>
        </w:rPr>
        <w:t>–</w:t>
      </w:r>
      <w:r w:rsidRPr="0037210C">
        <w:rPr>
          <w:rFonts w:asciiTheme="minorHAnsi" w:hAnsiTheme="minorHAnsi" w:cstheme="minorHAnsi"/>
          <w:sz w:val="24"/>
          <w:szCs w:val="24"/>
        </w:rPr>
        <w:t xml:space="preserve"> dwustrefowa</w:t>
      </w:r>
      <w:r>
        <w:rPr>
          <w:rFonts w:asciiTheme="minorHAnsi" w:hAnsiTheme="minorHAnsi" w:cstheme="minorHAnsi"/>
          <w:sz w:val="24"/>
          <w:szCs w:val="24"/>
        </w:rPr>
        <w:t xml:space="preserve"> </w:t>
      </w:r>
    </w:p>
    <w:p w:rsidR="008C4CD7" w:rsidRDefault="008C4CD7" w:rsidP="008C4CD7">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eastAsia="Times New Roman" w:hAnsiTheme="minorHAnsi" w:cstheme="minorHAnsi"/>
          <w:color w:val="000000" w:themeColor="text1"/>
          <w:sz w:val="24"/>
          <w:szCs w:val="24"/>
          <w:lang w:eastAsia="pl-PL"/>
        </w:rPr>
        <w:lastRenderedPageBreak/>
        <w:t>Określenie zamówienia według Wspólnego Słownika Zamówie</w:t>
      </w:r>
      <w:r w:rsidRPr="007C2366">
        <w:rPr>
          <w:rFonts w:asciiTheme="minorHAnsi" w:eastAsia="Times New Roman" w:hAnsiTheme="minorHAnsi" w:cstheme="minorHAnsi"/>
          <w:color w:val="000000" w:themeColor="text1"/>
          <w:sz w:val="24"/>
          <w:szCs w:val="24"/>
          <w:lang w:eastAsia="pl-PL"/>
        </w:rPr>
        <w:t>ń (CPV):</w:t>
      </w:r>
    </w:p>
    <w:p w:rsidR="00A35C68" w:rsidRDefault="00A35C68" w:rsidP="00A35C68">
      <w:pPr>
        <w:spacing w:line="240"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09310000-5 Elektryczność</w:t>
      </w:r>
    </w:p>
    <w:p w:rsidR="00A35C68" w:rsidRPr="0037210C" w:rsidRDefault="00A35C68" w:rsidP="00A35C68">
      <w:pPr>
        <w:spacing w:line="240" w:lineRule="auto"/>
        <w:ind w:left="426"/>
        <w:contextualSpacing/>
        <w:jc w:val="both"/>
        <w:rPr>
          <w:rFonts w:asciiTheme="minorHAnsi" w:hAnsiTheme="minorHAnsi" w:cstheme="minorHAnsi"/>
          <w:sz w:val="24"/>
          <w:szCs w:val="24"/>
        </w:rPr>
      </w:pPr>
      <w:r w:rsidRPr="0037210C">
        <w:rPr>
          <w:rFonts w:asciiTheme="minorHAnsi" w:hAnsiTheme="minorHAnsi" w:cstheme="minorHAnsi"/>
          <w:sz w:val="24"/>
          <w:szCs w:val="24"/>
        </w:rPr>
        <w:t xml:space="preserve">65310000-9 </w:t>
      </w:r>
      <w:proofErr w:type="spellStart"/>
      <w:r w:rsidRPr="0037210C">
        <w:rPr>
          <w:rFonts w:asciiTheme="minorHAnsi" w:hAnsiTheme="minorHAnsi" w:cstheme="minorHAnsi"/>
          <w:sz w:val="24"/>
          <w:szCs w:val="24"/>
        </w:rPr>
        <w:t>Przesył</w:t>
      </w:r>
      <w:proofErr w:type="spellEnd"/>
      <w:r w:rsidRPr="0037210C">
        <w:rPr>
          <w:rFonts w:asciiTheme="minorHAnsi" w:hAnsiTheme="minorHAnsi" w:cstheme="minorHAnsi"/>
          <w:sz w:val="24"/>
          <w:szCs w:val="24"/>
        </w:rPr>
        <w:t xml:space="preserve"> energii elektrycznej</w:t>
      </w:r>
    </w:p>
    <w:p w:rsidR="00A35C68" w:rsidRPr="007C2366" w:rsidRDefault="00A35C68" w:rsidP="00A35C68">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A35C68" w:rsidRPr="00D45253" w:rsidRDefault="00A35C68" w:rsidP="00A35C68">
      <w:pPr>
        <w:numPr>
          <w:ilvl w:val="0"/>
          <w:numId w:val="10"/>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D45253">
        <w:rPr>
          <w:rFonts w:asciiTheme="minorHAnsi" w:eastAsia="Times New Roman" w:hAnsiTheme="minorHAnsi" w:cstheme="minorHAnsi"/>
          <w:color w:val="000000"/>
          <w:sz w:val="24"/>
          <w:szCs w:val="24"/>
          <w:lang w:eastAsia="pl-PL"/>
        </w:rPr>
        <w:t>Dostawa oraz świadczenie usług dystrybucji energii elektrycznej odbywać się  będzie na warunkach określonych</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przepisami ustawy z dnia 10 kwietnia 1997 r. - Prawo energetyczne  (</w:t>
      </w:r>
      <w:proofErr w:type="spellStart"/>
      <w:r w:rsidRPr="00D45253">
        <w:rPr>
          <w:rFonts w:asciiTheme="minorHAnsi" w:eastAsia="Times New Roman" w:hAnsiTheme="minorHAnsi" w:cstheme="minorHAnsi"/>
          <w:color w:val="000000"/>
          <w:sz w:val="24"/>
          <w:szCs w:val="24"/>
          <w:lang w:eastAsia="pl-PL"/>
        </w:rPr>
        <w:t>t.j</w:t>
      </w:r>
      <w:proofErr w:type="spellEnd"/>
      <w:r w:rsidRPr="00D45253">
        <w:rPr>
          <w:rFonts w:asciiTheme="minorHAnsi" w:eastAsia="Times New Roman" w:hAnsiTheme="minorHAnsi" w:cstheme="minorHAnsi"/>
          <w:color w:val="000000"/>
          <w:sz w:val="24"/>
          <w:szCs w:val="24"/>
          <w:lang w:eastAsia="pl-PL"/>
        </w:rPr>
        <w:t xml:space="preserve">. Dz. U. z 2019 r. poz. 755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oraz  zgodnie z przepisami wykonawczymi do ww. ustawy, w szczególności z Rozporządzeniem Ministra Gospodarki z dnia 4 maja 2007 w sprawie szczegółowych warunków funkcjonowania systemu elektroenergetycznego (Dz. U. z 2007 r. nr 93, poz. 623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przepisami Kodeksu Cywilnego,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zasadami określonymi w koncesji na prowadzenie działalności gospodarczej w zakresie obrotu energią elektryczną wydanej przez Prezesa Urzędu Regulacji Energetyki</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postanowieniami umowy. </w:t>
      </w:r>
    </w:p>
    <w:p w:rsidR="00A35C68" w:rsidRPr="00D45253" w:rsidRDefault="00A35C68" w:rsidP="00A35C68">
      <w:pPr>
        <w:spacing w:line="240" w:lineRule="auto"/>
        <w:ind w:left="788"/>
        <w:jc w:val="both"/>
        <w:rPr>
          <w:rFonts w:asciiTheme="minorHAnsi" w:eastAsia="Times New Roman" w:hAnsiTheme="minorHAnsi" w:cstheme="minorHAnsi"/>
          <w:color w:val="000000"/>
          <w:sz w:val="24"/>
          <w:szCs w:val="24"/>
          <w:lang w:eastAsia="pl-PL"/>
        </w:rPr>
      </w:pPr>
    </w:p>
    <w:p w:rsidR="00A35C68"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Dostawa odbywać się będzie za pośrednictwem sieci dystrybucji należącej do Operatora  Systemu Dystrybucyjnego na obszarze którego znajdują się miejsca dostarczania energii elektrycznej.</w:t>
      </w:r>
    </w:p>
    <w:p w:rsidR="00A35C68" w:rsidRPr="00D45253" w:rsidRDefault="00A35C68" w:rsidP="00A35C68">
      <w:pPr>
        <w:pStyle w:val="Akapitzlist"/>
        <w:spacing w:line="240" w:lineRule="auto"/>
        <w:ind w:left="426"/>
        <w:jc w:val="both"/>
        <w:rPr>
          <w:rFonts w:eastAsia="Times New Roman" w:cstheme="minorHAnsi"/>
          <w:color w:val="000000"/>
          <w:sz w:val="24"/>
          <w:szCs w:val="24"/>
          <w:lang w:eastAsia="pl-PL"/>
        </w:rPr>
      </w:pPr>
    </w:p>
    <w:p w:rsidR="00A35C68" w:rsidRPr="00355894"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 xml:space="preserve">W przypadku konieczności zmiany wykonawcy na dostawę i dystrybucję energii elektrycznej Wykonawca, który złoży ofertę najkorzystniejszą zajmie się przeprowadzeniem procedury zmiany sprzedawcy energii zgodnie z obowiązującymi przepisami. Zamawiający przekaże wykonawcy stosowne umocowanie do przeprowadzenia przedmiotowej procedury. Dostawa energii elektrycznej odbywać się ma na warunkach określonych przepisami ustawy Prawo Energetyczne i kodeksu cywilnego oraz z przepisami wykonawczymi wydanymi na ich podstawie. </w:t>
      </w: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w:t>
      </w:r>
      <w:r w:rsidRPr="00067C2A">
        <w:rPr>
          <w:rFonts w:asciiTheme="minorHAnsi" w:eastAsia="Times New Roman" w:hAnsiTheme="minorHAnsi" w:cstheme="minorHAnsi"/>
          <w:sz w:val="24"/>
          <w:szCs w:val="24"/>
          <w:lang w:eastAsia="pl-PL"/>
        </w:rPr>
        <w:lastRenderedPageBreak/>
        <w:t>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35C68" w:rsidRPr="00067C2A" w:rsidRDefault="00A35C68" w:rsidP="00A35C68">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35C68" w:rsidRPr="00067C2A" w:rsidRDefault="00A35C68" w:rsidP="00A35C68">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35C68" w:rsidRPr="003341A2"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rsidR="00A35C68" w:rsidRPr="003341A2" w:rsidRDefault="00A35C68" w:rsidP="00A35C68">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w:t>
      </w:r>
      <w:r>
        <w:rPr>
          <w:rFonts w:asciiTheme="minorHAnsi" w:hAnsiTheme="minorHAnsi" w:cstheme="minorHAnsi"/>
          <w:bCs/>
          <w:sz w:val="24"/>
          <w:szCs w:val="24"/>
        </w:rPr>
        <w:t>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341A2" w:rsidRDefault="00A35C68" w:rsidP="00A35C68">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35C68" w:rsidRPr="00067C2A" w:rsidRDefault="00A35C68" w:rsidP="00A35C68">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rsidR="00A35C68" w:rsidRPr="00067C2A" w:rsidRDefault="00A35C68" w:rsidP="00A35C68">
      <w:pPr>
        <w:tabs>
          <w:tab w:val="left" w:pos="567"/>
        </w:tabs>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35C68" w:rsidRPr="00067C2A" w:rsidRDefault="00A35C68" w:rsidP="00A35C68">
      <w:pPr>
        <w:spacing w:line="240" w:lineRule="auto"/>
        <w:ind w:left="709"/>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35C68" w:rsidRPr="00067C2A" w:rsidRDefault="00A35C68" w:rsidP="00A35C68">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w:t>
      </w:r>
      <w:r>
        <w:rPr>
          <w:rFonts w:asciiTheme="minorHAnsi" w:eastAsia="Times New Roman" w:hAnsiTheme="minorHAnsi" w:cstheme="minorHAnsi"/>
          <w:sz w:val="24"/>
          <w:szCs w:val="24"/>
          <w:lang w:eastAsia="pl-PL"/>
        </w:rPr>
        <w:t xml:space="preserve"> </w:t>
      </w:r>
      <w:r w:rsidRPr="00355894">
        <w:rPr>
          <w:rFonts w:asciiTheme="minorHAnsi" w:eastAsia="Times New Roman" w:hAnsiTheme="minorHAnsi" w:cstheme="minorHAnsi"/>
          <w:sz w:val="24"/>
          <w:szCs w:val="24"/>
          <w:lang w:eastAsia="pl-PL"/>
        </w:rPr>
        <w:t xml:space="preserve">Wykonawca musi </w:t>
      </w:r>
      <w:r>
        <w:rPr>
          <w:rFonts w:asciiTheme="minorHAnsi" w:eastAsia="Times New Roman" w:hAnsiTheme="minorHAnsi" w:cstheme="minorHAnsi"/>
          <w:sz w:val="24"/>
          <w:szCs w:val="24"/>
          <w:lang w:eastAsia="pl-PL"/>
        </w:rPr>
        <w:t>wykazać posiadanie aktualnej koncesji</w:t>
      </w:r>
      <w:r w:rsidRPr="00355894">
        <w:rPr>
          <w:rFonts w:asciiTheme="minorHAnsi" w:eastAsia="Times New Roman" w:hAnsiTheme="minorHAnsi" w:cstheme="minorHAnsi"/>
          <w:sz w:val="24"/>
          <w:szCs w:val="24"/>
          <w:lang w:eastAsia="pl-PL"/>
        </w:rPr>
        <w:t xml:space="preserve"> na prowadzenie działalności gospodarczej w zakresie obrotu energią elektryczną wydaną przez Prezesa Urzędu Regula</w:t>
      </w:r>
      <w:r>
        <w:rPr>
          <w:rFonts w:asciiTheme="minorHAnsi" w:eastAsia="Times New Roman" w:hAnsiTheme="minorHAnsi" w:cstheme="minorHAnsi"/>
          <w:sz w:val="24"/>
          <w:szCs w:val="24"/>
          <w:lang w:eastAsia="pl-PL"/>
        </w:rPr>
        <w:t>cji Energetyki oraz obowiązującej umowy</w:t>
      </w:r>
      <w:r w:rsidRPr="00355894">
        <w:rPr>
          <w:rFonts w:asciiTheme="minorHAnsi" w:eastAsia="Times New Roman" w:hAnsiTheme="minorHAnsi" w:cstheme="minorHAnsi"/>
          <w:sz w:val="24"/>
          <w:szCs w:val="24"/>
          <w:lang w:eastAsia="pl-PL"/>
        </w:rPr>
        <w:t xml:space="preserve"> na sprzedaż energii elektrycznej za pośrednictwem sieci dystrybucyjnej lokalnego operatora systemu dystrybucyjnego</w:t>
      </w:r>
      <w:r>
        <w:rPr>
          <w:rFonts w:asciiTheme="minorHAnsi" w:eastAsia="Times New Roman" w:hAnsiTheme="minorHAnsi" w:cstheme="minorHAnsi"/>
          <w:sz w:val="24"/>
          <w:szCs w:val="24"/>
          <w:lang w:eastAsia="pl-PL"/>
        </w:rPr>
        <w:t xml:space="preserve"> </w:t>
      </w:r>
      <w:r w:rsidRPr="00E5075E">
        <w:rPr>
          <w:rFonts w:asciiTheme="minorHAnsi" w:eastAsia="Times New Roman" w:hAnsiTheme="minorHAnsi" w:cstheme="minorHAnsi"/>
          <w:sz w:val="24"/>
          <w:szCs w:val="24"/>
          <w:lang w:eastAsia="pl-PL"/>
        </w:rPr>
        <w:t>dla obiektów Zamawiającego, lub że posiada taki dostęp na innej podstawie</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w:t>
      </w:r>
      <w:r w:rsidRPr="00BD6CAC">
        <w:rPr>
          <w:rFonts w:asciiTheme="minorHAnsi" w:eastAsia="Times New Roman" w:hAnsiTheme="minorHAnsi" w:cstheme="minorHAnsi"/>
          <w:color w:val="000000" w:themeColor="text1"/>
          <w:sz w:val="24"/>
          <w:szCs w:val="24"/>
          <w:lang w:eastAsia="pl-PL"/>
        </w:rPr>
        <w:lastRenderedPageBreak/>
        <w:t xml:space="preserve">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Pr>
          <w:rFonts w:asciiTheme="minorHAnsi" w:eastAsia="Times New Roman" w:hAnsiTheme="minorHAnsi" w:cstheme="minorHAnsi"/>
          <w:color w:val="000000" w:themeColor="text1"/>
          <w:sz w:val="24"/>
          <w:szCs w:val="24"/>
          <w:lang w:eastAsia="pl-PL"/>
        </w:rPr>
        <w:t>4 dostawy</w:t>
      </w:r>
      <w:r w:rsidRPr="00E5075E">
        <w:rPr>
          <w:rFonts w:asciiTheme="minorHAnsi" w:eastAsia="Times New Roman" w:hAnsiTheme="minorHAnsi" w:cstheme="minorHAnsi"/>
          <w:color w:val="000000" w:themeColor="text1"/>
          <w:sz w:val="24"/>
          <w:szCs w:val="24"/>
          <w:lang w:eastAsia="pl-PL"/>
        </w:rPr>
        <w:t xml:space="preserve"> energii elektrycznej w rozmiarze co najmniej 500 MWh w skali roku każda.</w:t>
      </w:r>
    </w:p>
    <w:p w:rsidR="00A35C68" w:rsidRPr="00BD6CAC" w:rsidRDefault="00A35C68" w:rsidP="00A35C68">
      <w:p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pStyle w:val="Akapitzlist"/>
        <w:spacing w:after="0" w:line="240" w:lineRule="auto"/>
        <w:ind w:left="1069"/>
        <w:jc w:val="both"/>
        <w:rPr>
          <w:rFonts w:eastAsia="Times New Roman" w:cstheme="minorHAnsi"/>
          <w:sz w:val="24"/>
          <w:szCs w:val="24"/>
          <w:lang w:eastAsia="pl-PL"/>
        </w:rPr>
      </w:pPr>
    </w:p>
    <w:p w:rsidR="00A35C68" w:rsidRPr="00860236"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35C68" w:rsidRPr="00860236" w:rsidRDefault="00A35C68" w:rsidP="00A35C68">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0"/>
          <w:numId w:val="39"/>
        </w:numPr>
        <w:spacing w:line="240" w:lineRule="auto"/>
        <w:contextualSpacing/>
        <w:jc w:val="both"/>
        <w:rPr>
          <w:rFonts w:asciiTheme="minorHAnsi" w:eastAsia="Times New Roman" w:hAnsiTheme="minorHAnsi" w:cstheme="minorHAnsi"/>
          <w:vanish/>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35C68" w:rsidRPr="0086023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w:t>
      </w:r>
      <w:r>
        <w:rPr>
          <w:rFonts w:asciiTheme="minorHAnsi" w:eastAsia="Times New Roman" w:hAnsiTheme="minorHAnsi" w:cstheme="minorHAnsi"/>
          <w:color w:val="000000" w:themeColor="text1"/>
          <w:sz w:val="24"/>
          <w:szCs w:val="24"/>
          <w:lang w:eastAsia="pl-PL"/>
        </w:rPr>
        <w:t>zp</w:t>
      </w:r>
      <w:proofErr w:type="spellEnd"/>
      <w:r>
        <w:rPr>
          <w:rFonts w:asciiTheme="minorHAnsi" w:eastAsia="Times New Roman" w:hAnsiTheme="minorHAnsi" w:cstheme="minorHAnsi"/>
          <w:color w:val="000000" w:themeColor="text1"/>
          <w:sz w:val="24"/>
          <w:szCs w:val="24"/>
          <w:lang w:eastAsia="pl-PL"/>
        </w:rPr>
        <w:t xml:space="preserve"> – zgodnie z Załącznikiem nr 2</w:t>
      </w:r>
      <w:r w:rsidRPr="00860236">
        <w:rPr>
          <w:rFonts w:asciiTheme="minorHAnsi" w:eastAsia="Times New Roman" w:hAnsiTheme="minorHAnsi" w:cstheme="minorHAnsi"/>
          <w:color w:val="000000" w:themeColor="text1"/>
          <w:sz w:val="24"/>
          <w:szCs w:val="24"/>
          <w:lang w:eastAsia="pl-PL"/>
        </w:rPr>
        <w:t>A do SIWZ (składane razem z ofertą)</w:t>
      </w:r>
    </w:p>
    <w:p w:rsidR="00A35C68" w:rsidRPr="00F570BF"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F570BF">
        <w:rPr>
          <w:rFonts w:asciiTheme="minorHAnsi" w:eastAsia="Times New Roman" w:hAnsiTheme="minorHAnsi" w:cstheme="minorHAnsi"/>
          <w:color w:val="000000" w:themeColor="text1"/>
          <w:sz w:val="24"/>
          <w:szCs w:val="24"/>
          <w:lang w:eastAsia="pl-PL"/>
        </w:rPr>
        <w:t>aktualnej koncesji, wydanej przez Prezesa Urzędu Regulacji Energetyki zgodnie z przepisami ustawy przepisami ustawy z dnia 10 kwietnia 1997 r. - Prawo energetyczne  (</w:t>
      </w:r>
      <w:proofErr w:type="spellStart"/>
      <w:r w:rsidRPr="00F570BF">
        <w:rPr>
          <w:rFonts w:asciiTheme="minorHAnsi" w:eastAsia="Times New Roman" w:hAnsiTheme="minorHAnsi" w:cstheme="minorHAnsi"/>
          <w:color w:val="000000" w:themeColor="text1"/>
          <w:sz w:val="24"/>
          <w:szCs w:val="24"/>
          <w:lang w:eastAsia="pl-PL"/>
        </w:rPr>
        <w:t>t.j</w:t>
      </w:r>
      <w:proofErr w:type="spellEnd"/>
      <w:r w:rsidRPr="00F570BF">
        <w:rPr>
          <w:rFonts w:asciiTheme="minorHAnsi" w:eastAsia="Times New Roman" w:hAnsiTheme="minorHAnsi" w:cstheme="minorHAnsi"/>
          <w:color w:val="000000" w:themeColor="text1"/>
          <w:sz w:val="24"/>
          <w:szCs w:val="24"/>
          <w:lang w:eastAsia="pl-PL"/>
        </w:rPr>
        <w:t>. Dz. U. z 2019 r. poz. 755 z</w:t>
      </w:r>
      <w:r>
        <w:rPr>
          <w:rFonts w:asciiTheme="minorHAnsi" w:eastAsia="Times New Roman" w:hAnsiTheme="minorHAnsi" w:cstheme="minorHAnsi"/>
          <w:color w:val="000000" w:themeColor="text1"/>
          <w:sz w:val="24"/>
          <w:szCs w:val="24"/>
          <w:lang w:eastAsia="pl-PL"/>
        </w:rPr>
        <w:t xml:space="preserve">e </w:t>
      </w:r>
      <w:r w:rsidRPr="00F570BF">
        <w:rPr>
          <w:rFonts w:asciiTheme="minorHAnsi" w:eastAsia="Times New Roman" w:hAnsiTheme="minorHAnsi" w:cstheme="minorHAnsi"/>
          <w:color w:val="000000" w:themeColor="text1"/>
          <w:sz w:val="24"/>
          <w:szCs w:val="24"/>
          <w:lang w:eastAsia="pl-PL"/>
        </w:rPr>
        <w:t xml:space="preserve">zm.) </w:t>
      </w:r>
    </w:p>
    <w:p w:rsidR="00A35C68" w:rsidRPr="00860236"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Pr>
          <w:rFonts w:asciiTheme="minorHAnsi" w:eastAsia="Times New Roman" w:hAnsiTheme="minorHAnsi" w:cstheme="minorHAnsi"/>
          <w:color w:val="000000" w:themeColor="text1"/>
          <w:sz w:val="24"/>
          <w:szCs w:val="24"/>
          <w:lang w:eastAsia="pl-PL"/>
        </w:rPr>
        <w:t>3</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rsidR="00A35C68" w:rsidRPr="00860236" w:rsidRDefault="00A35C68" w:rsidP="00A35C68">
      <w:pPr>
        <w:spacing w:line="240" w:lineRule="auto"/>
        <w:ind w:left="360"/>
        <w:jc w:val="both"/>
        <w:rPr>
          <w:rFonts w:asciiTheme="minorHAnsi" w:eastAsia="Times New Roman" w:hAnsiTheme="minorHAnsi" w:cstheme="minorHAnsi"/>
          <w:color w:val="000000" w:themeColor="text1"/>
          <w:sz w:val="24"/>
          <w:szCs w:val="24"/>
          <w:lang w:eastAsia="pl-PL"/>
        </w:rPr>
      </w:pPr>
    </w:p>
    <w:p w:rsidR="00A35C68" w:rsidRPr="00860236" w:rsidRDefault="00A35C68" w:rsidP="00A35C68">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35C68" w:rsidRPr="00860236" w:rsidRDefault="00A35C68" w:rsidP="00A35C68">
      <w:pPr>
        <w:spacing w:line="240" w:lineRule="auto"/>
        <w:jc w:val="both"/>
        <w:rPr>
          <w:rFonts w:asciiTheme="minorHAnsi" w:eastAsia="Times New Roman" w:hAnsiTheme="minorHAnsi" w:cstheme="minorHAnsi"/>
          <w:color w:val="FF0000"/>
          <w:sz w:val="24"/>
          <w:szCs w:val="24"/>
          <w:lang w:eastAsia="pl-PL"/>
        </w:rPr>
      </w:pPr>
    </w:p>
    <w:p w:rsidR="00A35C68" w:rsidRPr="00860236" w:rsidRDefault="00A35C68" w:rsidP="00A35C68">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 xml:space="preserve">w postępowaniu przeliczy podane kwoty na złoty (z dokładnością do dwóch miejsc po przecinku) po średnim kursie ogłoszonym przez Narodowy Bank Polski z dnia publikacji ogłoszenia o zamówieniu, a jeżeli w tym dniu kursu nie </w:t>
      </w:r>
      <w:r w:rsidRPr="00860236">
        <w:rPr>
          <w:rFonts w:asciiTheme="minorHAnsi" w:eastAsia="Times New Roman" w:hAnsiTheme="minorHAnsi" w:cstheme="minorHAnsi"/>
          <w:bCs/>
          <w:color w:val="000000"/>
          <w:sz w:val="24"/>
          <w:szCs w:val="24"/>
          <w:lang w:eastAsia="pl-PL"/>
        </w:rPr>
        <w:lastRenderedPageBreak/>
        <w:t>ogłoszono, to według tabeli kursów średnich NBP ostatnio przed tą datą ogłoszonych. Ten sam kurs Zamawiający przyjmie przy przeliczeniu innych danych finansowych.</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w:t>
      </w:r>
      <w:r>
        <w:rPr>
          <w:rFonts w:asciiTheme="minorHAnsi" w:eastAsia="Times New Roman" w:hAnsiTheme="minorHAnsi" w:cstheme="minorHAnsi"/>
          <w:color w:val="000000"/>
          <w:sz w:val="24"/>
          <w:szCs w:val="24"/>
          <w:lang w:eastAsia="pl-PL"/>
        </w:rPr>
        <w:t>zp</w:t>
      </w:r>
      <w:proofErr w:type="spellEnd"/>
      <w:r>
        <w:rPr>
          <w:rFonts w:asciiTheme="minorHAnsi" w:eastAsia="Times New Roman" w:hAnsiTheme="minorHAnsi" w:cstheme="minorHAnsi"/>
          <w:color w:val="000000"/>
          <w:sz w:val="24"/>
          <w:szCs w:val="24"/>
          <w:lang w:eastAsia="pl-PL"/>
        </w:rPr>
        <w:t xml:space="preserve"> – zgodnie z Załącznikiem nr 2</w:t>
      </w:r>
      <w:r w:rsidRPr="00860236">
        <w:rPr>
          <w:rFonts w:asciiTheme="minorHAnsi" w:eastAsia="Times New Roman" w:hAnsiTheme="minorHAnsi" w:cstheme="minorHAnsi"/>
          <w:color w:val="000000"/>
          <w:sz w:val="24"/>
          <w:szCs w:val="24"/>
          <w:lang w:eastAsia="pl-PL"/>
        </w:rPr>
        <w:t>B do SIWZ (składane razem z ofertą)</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oświadczenia Wykonawcy o przynależności albo braku przynależności do tej samej grupy kapitałowej – zgodnie z </w:t>
      </w:r>
      <w:r>
        <w:rPr>
          <w:rFonts w:asciiTheme="minorHAnsi" w:eastAsia="Times New Roman" w:hAnsiTheme="minorHAnsi" w:cstheme="minorHAnsi"/>
          <w:color w:val="000000"/>
          <w:sz w:val="24"/>
          <w:szCs w:val="24"/>
          <w:lang w:eastAsia="pl-PL"/>
        </w:rPr>
        <w:t>Załącznikiem nr 2</w:t>
      </w:r>
      <w:r w:rsidRPr="00860236">
        <w:rPr>
          <w:rFonts w:asciiTheme="minorHAnsi" w:eastAsia="Times New Roman" w:hAnsiTheme="minorHAnsi" w:cstheme="minorHAnsi"/>
          <w:color w:val="000000"/>
          <w:sz w:val="24"/>
          <w:szCs w:val="24"/>
          <w:lang w:eastAsia="pl-PL"/>
        </w:rPr>
        <w:t>C.</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35C68" w:rsidRPr="00860236" w:rsidRDefault="00A35C68" w:rsidP="00A35C68">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35C68" w:rsidRPr="00860236" w:rsidRDefault="00A35C68" w:rsidP="00A35C68">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 xml:space="preserve">na zasoby innych podmiotów w celu wykazania braku istnienia wobec nich podstaw wykluczenia oraz spełniania, w zakresie w jakim powołuje się na ich zasoby, warunków udziału w postępowaniu – zamieszcza informacje o tych podmiotach </w:t>
      </w:r>
      <w:r>
        <w:rPr>
          <w:rFonts w:asciiTheme="minorHAnsi" w:eastAsia="Times New Roman" w:hAnsiTheme="minorHAnsi" w:cstheme="minorHAnsi"/>
          <w:color w:val="000000"/>
          <w:sz w:val="24"/>
          <w:szCs w:val="24"/>
          <w:lang w:eastAsia="pl-PL"/>
        </w:rPr>
        <w:t>w oświadczeniach (załącznik nr 2A i 2</w:t>
      </w:r>
      <w:r w:rsidRPr="00860236">
        <w:rPr>
          <w:rFonts w:asciiTheme="minorHAnsi" w:eastAsia="Times New Roman" w:hAnsiTheme="minorHAnsi" w:cstheme="minorHAnsi"/>
          <w:color w:val="000000"/>
          <w:sz w:val="24"/>
          <w:szCs w:val="24"/>
          <w:lang w:eastAsia="pl-PL"/>
        </w:rPr>
        <w:t>B do SIWZ).</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lastRenderedPageBreak/>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35C68" w:rsidRPr="005C0F98"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C0F98" w:rsidRPr="00860236" w:rsidRDefault="005C0F98" w:rsidP="005C0F9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rsidR="00A35C68" w:rsidRPr="00860236" w:rsidRDefault="00A35C68" w:rsidP="00A35C68">
      <w:pPr>
        <w:contextualSpacing/>
        <w:jc w:val="both"/>
        <w:rPr>
          <w:rFonts w:asciiTheme="minorHAnsi" w:eastAsia="Times New Roman" w:hAnsiTheme="minorHAnsi" w:cstheme="minorHAnsi"/>
          <w:b/>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w:t>
      </w:r>
      <w:r>
        <w:rPr>
          <w:rFonts w:asciiTheme="minorHAnsi" w:eastAsia="Times New Roman" w:hAnsiTheme="minorHAnsi" w:cstheme="minorHAnsi"/>
          <w:color w:val="000000"/>
          <w:sz w:val="24"/>
          <w:szCs w:val="24"/>
          <w:lang w:eastAsia="pl-PL"/>
        </w:rPr>
        <w:t>ik nr 2</w:t>
      </w:r>
      <w:r w:rsidRPr="00860236">
        <w:rPr>
          <w:rFonts w:asciiTheme="minorHAnsi" w:eastAsia="Times New Roman" w:hAnsiTheme="minorHAnsi" w:cstheme="minorHAnsi"/>
          <w:color w:val="000000"/>
          <w:sz w:val="24"/>
          <w:szCs w:val="24"/>
          <w:lang w:eastAsia="pl-PL"/>
        </w:rPr>
        <w:t xml:space="preserve">B do SIWZ). </w:t>
      </w: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Poświadczenie za zgodność z oryginałem następuje w formie pisemnej lub w formie elektronicznej. </w:t>
      </w:r>
    </w:p>
    <w:p w:rsidR="00A35C68" w:rsidRPr="00860236" w:rsidRDefault="00A35C68" w:rsidP="00A35C6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w:t>
      </w:r>
      <w:r>
        <w:rPr>
          <w:rFonts w:asciiTheme="minorHAnsi" w:eastAsia="Times New Roman" w:hAnsiTheme="minorHAnsi" w:cstheme="minorHAnsi"/>
          <w:color w:val="000000"/>
          <w:sz w:val="24"/>
          <w:szCs w:val="24"/>
          <w:lang w:eastAsia="pl-PL"/>
        </w:rPr>
        <w:t>ów, oświadczenia (Załącznik nr 2A, 2B oraz 2</w:t>
      </w:r>
      <w:r w:rsidRPr="00860236">
        <w:rPr>
          <w:rFonts w:asciiTheme="minorHAnsi" w:eastAsia="Times New Roman" w:hAnsiTheme="minorHAnsi" w:cstheme="minorHAnsi"/>
          <w:color w:val="000000"/>
          <w:sz w:val="24"/>
          <w:szCs w:val="24"/>
          <w:lang w:eastAsia="pl-PL"/>
        </w:rPr>
        <w:t>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35C68" w:rsidRPr="00860236" w:rsidRDefault="00A35C68" w:rsidP="00A35C68">
      <w:pPr>
        <w:spacing w:line="240" w:lineRule="auto"/>
        <w:ind w:left="709"/>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35C68" w:rsidRPr="00860236" w:rsidRDefault="00A35C68" w:rsidP="00A35C68">
      <w:pPr>
        <w:spacing w:line="240" w:lineRule="auto"/>
        <w:rPr>
          <w:rFonts w:asciiTheme="minorHAnsi" w:eastAsia="Times New Roman" w:hAnsiTheme="minorHAnsi" w:cstheme="minorHAnsi"/>
          <w:color w:val="000000"/>
          <w:sz w:val="24"/>
          <w:szCs w:val="24"/>
          <w:lang w:eastAsia="pl-PL"/>
        </w:rPr>
      </w:pP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A35C68" w:rsidRPr="00BB4DD4" w:rsidRDefault="00A35C68" w:rsidP="00A35C68">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wątpliwości co do treści dokumentu złożonego przez wykonawcę, zamawiający może zwrócić się do właściwych organów odpowiednio kraju, w </w:t>
      </w:r>
      <w:r w:rsidRPr="00860236">
        <w:rPr>
          <w:rFonts w:asciiTheme="minorHAnsi" w:eastAsia="Times New Roman" w:hAnsiTheme="minorHAnsi" w:cstheme="minorHAnsi"/>
          <w:color w:val="000000"/>
          <w:sz w:val="24"/>
          <w:szCs w:val="24"/>
          <w:lang w:eastAsia="pl-PL"/>
        </w:rPr>
        <w:lastRenderedPageBreak/>
        <w:t>którym wykonawca ma siedzibę lub miejsce zamieszkania lub miejsce zamieszkania ma osoba, której dokument dotyczy, o udzielenie niezbędnych informacji dotyczących tego dokumentu.</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w:t>
      </w:r>
      <w:r>
        <w:rPr>
          <w:rFonts w:asciiTheme="minorHAnsi" w:eastAsia="Times New Roman" w:hAnsiTheme="minorHAnsi" w:cstheme="minorHAnsi"/>
          <w:color w:val="000000" w:themeColor="text1"/>
          <w:sz w:val="24"/>
          <w:szCs w:val="24"/>
          <w:lang w:eastAsia="pl-PL"/>
        </w:rPr>
        <w:t>ależeniu do niej (Załącznik Nr 2</w:t>
      </w:r>
      <w:r w:rsidRPr="00860236">
        <w:rPr>
          <w:rFonts w:asciiTheme="minorHAnsi" w:eastAsia="Times New Roman" w:hAnsiTheme="minorHAnsi" w:cstheme="minorHAnsi"/>
          <w:color w:val="000000" w:themeColor="text1"/>
          <w:sz w:val="24"/>
          <w:szCs w:val="24"/>
          <w:lang w:eastAsia="pl-PL"/>
        </w:rPr>
        <w:t>C do SIWZ).</w:t>
      </w:r>
    </w:p>
    <w:p w:rsidR="00A35C68" w:rsidRPr="00067C2A" w:rsidRDefault="00A35C68" w:rsidP="00A35C68">
      <w:pPr>
        <w:tabs>
          <w:tab w:val="left" w:pos="1701"/>
        </w:tabs>
        <w:ind w:right="-114"/>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35C68" w:rsidRPr="00CC529A" w:rsidRDefault="00A35C68" w:rsidP="00A35C68">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35C68" w:rsidRPr="00CC529A" w:rsidRDefault="00A35C68" w:rsidP="00A35C68">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rsidR="00A35C68" w:rsidRPr="00CC529A" w:rsidRDefault="0087740A" w:rsidP="00A35C68">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Pr>
          <w:rFonts w:asciiTheme="minorHAnsi" w:eastAsia="Times New Roman" w:hAnsiTheme="minorHAnsi" w:cstheme="minorHAnsi"/>
          <w:color w:val="000000" w:themeColor="text1"/>
          <w:sz w:val="24"/>
          <w:szCs w:val="24"/>
          <w:lang w:eastAsia="pl-PL"/>
        </w:rPr>
        <w:t>Ewa Opiela</w:t>
      </w:r>
      <w:r w:rsidR="00A35C68" w:rsidRPr="00CC529A">
        <w:rPr>
          <w:rFonts w:asciiTheme="minorHAnsi" w:eastAsia="Times New Roman" w:hAnsiTheme="minorHAnsi" w:cstheme="minorHAnsi"/>
          <w:color w:val="000000" w:themeColor="text1"/>
          <w:sz w:val="24"/>
          <w:szCs w:val="24"/>
          <w:lang w:eastAsia="pl-PL"/>
        </w:rPr>
        <w:t xml:space="preserve"> </w:t>
      </w:r>
      <w:proofErr w:type="spellStart"/>
      <w:r w:rsidR="00A35C68" w:rsidRPr="00CC529A">
        <w:rPr>
          <w:rFonts w:asciiTheme="minorHAnsi" w:eastAsia="Times New Roman" w:hAnsiTheme="minorHAnsi" w:cstheme="minorHAnsi"/>
          <w:color w:val="000000" w:themeColor="text1"/>
          <w:sz w:val="24"/>
          <w:szCs w:val="24"/>
          <w:lang w:eastAsia="pl-PL"/>
        </w:rPr>
        <w:t>tel</w:t>
      </w:r>
      <w:proofErr w:type="spellEnd"/>
      <w:r w:rsidR="00A35C68" w:rsidRPr="00CC529A">
        <w:rPr>
          <w:rFonts w:asciiTheme="minorHAnsi" w:eastAsia="Times New Roman" w:hAnsiTheme="minorHAnsi" w:cstheme="minorHAnsi"/>
          <w:color w:val="000000" w:themeColor="text1"/>
          <w:sz w:val="24"/>
          <w:szCs w:val="24"/>
          <w:lang w:eastAsia="pl-PL"/>
        </w:rPr>
        <w:t xml:space="preserve">, : </w:t>
      </w:r>
      <w:r w:rsidR="00A35C68" w:rsidRPr="00CC529A">
        <w:rPr>
          <w:rFonts w:asciiTheme="minorHAnsi" w:eastAsia="Times New Roman" w:hAnsiTheme="minorHAnsi" w:cstheme="minorHAnsi"/>
          <w:color w:val="000000" w:themeColor="text1"/>
          <w:sz w:val="24"/>
          <w:szCs w:val="24"/>
          <w:lang w:val="en-US" w:eastAsia="pl-PL"/>
        </w:rPr>
        <w:t>+48</w:t>
      </w:r>
      <w:r>
        <w:rPr>
          <w:rFonts w:asciiTheme="minorHAnsi" w:eastAsia="Times New Roman" w:hAnsiTheme="minorHAnsi" w:cstheme="minorHAnsi"/>
          <w:color w:val="000000" w:themeColor="text1"/>
          <w:sz w:val="24"/>
          <w:szCs w:val="24"/>
          <w:lang w:val="en-US" w:eastAsia="pl-PL"/>
        </w:rPr>
        <w:t> 509 927 612</w:t>
      </w:r>
      <w:r w:rsidR="00A35C68" w:rsidRPr="00CC529A">
        <w:rPr>
          <w:rFonts w:asciiTheme="minorHAnsi" w:eastAsia="Times New Roman" w:hAnsiTheme="minorHAnsi" w:cstheme="minorHAnsi"/>
          <w:color w:val="000000" w:themeColor="text1"/>
          <w:sz w:val="24"/>
          <w:szCs w:val="24"/>
          <w:lang w:val="en-US" w:eastAsia="pl-PL"/>
        </w:rPr>
        <w:t xml:space="preserve"> </w:t>
      </w:r>
    </w:p>
    <w:p w:rsidR="00A35C68" w:rsidRPr="00CC529A" w:rsidRDefault="00A35C68" w:rsidP="00A35C68">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 xml:space="preserve">email: </w:t>
      </w:r>
      <w:r w:rsidR="0087740A">
        <w:rPr>
          <w:rFonts w:asciiTheme="minorHAnsi" w:eastAsia="Times New Roman" w:hAnsiTheme="minorHAnsi" w:cstheme="minorHAnsi"/>
          <w:color w:val="000000" w:themeColor="text1"/>
          <w:sz w:val="24"/>
          <w:szCs w:val="24"/>
          <w:lang w:val="en-US" w:eastAsia="pl-PL"/>
        </w:rPr>
        <w:t>kadry</w:t>
      </w:r>
      <w:r w:rsidRPr="00CC529A">
        <w:rPr>
          <w:rFonts w:asciiTheme="minorHAnsi" w:eastAsia="Times New Roman" w:hAnsiTheme="minorHAnsi" w:cstheme="minorHAnsi"/>
          <w:color w:val="000000" w:themeColor="text1"/>
          <w:sz w:val="24"/>
          <w:szCs w:val="24"/>
          <w:lang w:val="en-US" w:eastAsia="pl-PL"/>
        </w:rPr>
        <w:t>@claio.poznan.pl</w:t>
      </w:r>
    </w:p>
    <w:p w:rsidR="00A35C68" w:rsidRPr="00CC529A" w:rsidRDefault="00A35C68" w:rsidP="00A35C68">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A35C68" w:rsidRPr="00F570BF"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Pr>
          <w:rFonts w:asciiTheme="minorHAnsi" w:eastAsia="Times New Roman" w:hAnsiTheme="minorHAnsi" w:cstheme="minorHAnsi"/>
          <w:b/>
          <w:color w:val="000000" w:themeColor="text1"/>
          <w:sz w:val="24"/>
          <w:szCs w:val="24"/>
          <w:lang w:eastAsia="pl-PL"/>
        </w:rPr>
        <w:t xml:space="preserve">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35C68" w:rsidRPr="00CC529A" w:rsidRDefault="00A35C68" w:rsidP="00A35C68">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Pr>
          <w:rFonts w:asciiTheme="minorHAnsi" w:hAnsiTheme="minorHAnsi" w:cstheme="minorHAnsi"/>
          <w:b/>
          <w:color w:val="000000"/>
          <w:sz w:val="24"/>
          <w:szCs w:val="24"/>
        </w:rPr>
        <w:t>ni</w:t>
      </w:r>
      <w:r w:rsidRPr="00CC529A">
        <w:rPr>
          <w:rFonts w:asciiTheme="minorHAnsi" w:hAnsiTheme="minorHAnsi" w:cstheme="minorHAnsi"/>
          <w:b/>
          <w:color w:val="000000"/>
          <w:sz w:val="24"/>
          <w:szCs w:val="24"/>
        </w:rPr>
        <w:t>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35C68" w:rsidRPr="00CC529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35C68" w:rsidRPr="00CC529A" w:rsidRDefault="00A35C68" w:rsidP="00A35C68">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35C68" w:rsidRPr="00CC529A" w:rsidRDefault="00A35C68" w:rsidP="00A35C68">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lastRenderedPageBreak/>
        <w:t>Niezależnie od powyższego zastrzeżenia, pełnomocnictwo musi zostać złożone w formie oryginału lub poświadczonej notarialnie kopii.</w:t>
      </w:r>
    </w:p>
    <w:p w:rsidR="00A35C68" w:rsidRPr="00CC529A" w:rsidRDefault="00A35C68" w:rsidP="00A35C68">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35C68" w:rsidRPr="00CC529A" w:rsidRDefault="00A35C68" w:rsidP="00A35C68">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CC529A">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35C68" w:rsidRPr="00F570BF"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F570BF">
        <w:rPr>
          <w:rFonts w:asciiTheme="minorHAnsi" w:eastAsia="Times New Roman" w:hAnsiTheme="minorHAnsi" w:cstheme="minorHAnsi"/>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35C68" w:rsidRPr="00067C2A" w:rsidRDefault="00A35C68" w:rsidP="00A35C68">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Pr="00067C2A" w:rsidRDefault="008C4CD7"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Miejsce oraz termin składania i otwarcia ofert.</w:t>
      </w:r>
    </w:p>
    <w:p w:rsidR="00A35C68" w:rsidRPr="00CC529A" w:rsidRDefault="00A35C68" w:rsidP="00A35C68">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CC529A" w:rsidRDefault="00A35C68" w:rsidP="00A35C68">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2020</w:t>
      </w:r>
      <w:r w:rsidRPr="00CC529A">
        <w:rPr>
          <w:rFonts w:asciiTheme="minorHAnsi" w:eastAsia="Times New Roman" w:hAnsiTheme="minorHAnsi" w:cstheme="minorHAnsi"/>
          <w:b/>
          <w:color w:val="000000" w:themeColor="text1"/>
          <w:sz w:val="24"/>
          <w:szCs w:val="24"/>
          <w:u w:val="single"/>
          <w:lang w:eastAsia="pl-PL"/>
        </w:rPr>
        <w:t xml:space="preserve"> r., do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:00.</w:t>
      </w:r>
    </w:p>
    <w:p w:rsidR="00A35C68" w:rsidRPr="00CC529A" w:rsidRDefault="00A35C68" w:rsidP="00A35C68">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7C2366" w:rsidRDefault="00A35C68" w:rsidP="00A35C68">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r w:rsidRPr="00CC529A">
        <w:rPr>
          <w:rFonts w:asciiTheme="minorHAnsi" w:eastAsia="Times New Roman" w:hAnsiTheme="minorHAnsi" w:cstheme="minorHAnsi"/>
          <w:b/>
          <w:color w:val="000000" w:themeColor="text1"/>
          <w:sz w:val="24"/>
          <w:szCs w:val="24"/>
          <w:lang w:eastAsia="pl-PL"/>
        </w:rPr>
        <w:t xml:space="preserve">- </w:t>
      </w:r>
      <w:r>
        <w:rPr>
          <w:rFonts w:asciiTheme="minorHAnsi" w:eastAsia="Times New Roman" w:hAnsiTheme="minorHAnsi" w:cstheme="minorHAnsi"/>
          <w:b/>
          <w:color w:val="000000" w:themeColor="text1"/>
          <w:sz w:val="24"/>
          <w:szCs w:val="24"/>
          <w:lang w:eastAsia="pl-PL"/>
        </w:rPr>
        <w:t>7/PN/2020</w:t>
      </w:r>
    </w:p>
    <w:p w:rsidR="00A35C68" w:rsidRDefault="00A35C68" w:rsidP="00A35C68">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 xml:space="preserve">0 dnia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rsidR="005C0F98" w:rsidRPr="00422BA6" w:rsidRDefault="005C0F98" w:rsidP="00A35C68">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35C68" w:rsidRPr="00CC529A" w:rsidRDefault="00A35C68" w:rsidP="00A35C68">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rsidR="00A35C68" w:rsidRDefault="00A35C68" w:rsidP="00A35C68">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C0F98" w:rsidRPr="00CC529A" w:rsidRDefault="005C0F98" w:rsidP="00A35C6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C0F98" w:rsidRPr="00CC529A" w:rsidRDefault="005C0F98" w:rsidP="005C0F9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35C68"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35C68" w:rsidRDefault="00A35C6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Pr="00422BA6"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Formalności po wyborze oferty, przed zawarciem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5C0F98" w:rsidRPr="005C0F98"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C0F98" w:rsidRPr="00067C2A" w:rsidRDefault="005C0F9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35C68" w:rsidRDefault="00A35C68" w:rsidP="00A35C68">
      <w:pPr>
        <w:pStyle w:val="Akapitzlist"/>
        <w:shd w:val="clear" w:color="auto" w:fill="FFFFFF"/>
        <w:spacing w:after="0"/>
        <w:ind w:left="567" w:right="100"/>
        <w:jc w:val="both"/>
        <w:rPr>
          <w:rFonts w:eastAsia="Times New Roman" w:cstheme="minorHAnsi"/>
          <w:sz w:val="24"/>
          <w:szCs w:val="24"/>
          <w:lang w:eastAsia="pl-PL"/>
        </w:rPr>
      </w:pPr>
    </w:p>
    <w:p w:rsidR="005C0F98" w:rsidRDefault="005C0F98" w:rsidP="00A35C68">
      <w:pPr>
        <w:pStyle w:val="Akapitzlist"/>
        <w:shd w:val="clear" w:color="auto" w:fill="FFFFFF"/>
        <w:spacing w:after="0"/>
        <w:ind w:left="567" w:right="100"/>
        <w:jc w:val="both"/>
        <w:rPr>
          <w:rFonts w:eastAsia="Times New Roman" w:cstheme="minorHAnsi"/>
          <w:sz w:val="24"/>
          <w:szCs w:val="24"/>
          <w:lang w:eastAsia="pl-PL"/>
        </w:rPr>
      </w:pPr>
    </w:p>
    <w:p w:rsidR="005C0F98" w:rsidRPr="00067C2A" w:rsidRDefault="005C0F98" w:rsidP="00A35C68">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A35C68" w:rsidRPr="00067C2A" w:rsidTr="00E441EC">
        <w:trPr>
          <w:trHeight w:val="529"/>
        </w:trPr>
        <w:tc>
          <w:tcPr>
            <w:tcW w:w="426"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l.p.</w:t>
            </w:r>
          </w:p>
        </w:tc>
        <w:tc>
          <w:tcPr>
            <w:tcW w:w="1769"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35C68" w:rsidRPr="00067C2A" w:rsidTr="00E441EC">
        <w:trPr>
          <w:trHeight w:val="465"/>
        </w:trPr>
        <w:tc>
          <w:tcPr>
            <w:tcW w:w="426" w:type="dxa"/>
            <w:vAlign w:val="center"/>
          </w:tcPr>
          <w:p w:rsidR="00A35C68" w:rsidRPr="00067C2A" w:rsidRDefault="00A35C68" w:rsidP="00E441EC">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rsidR="00A35C68" w:rsidRPr="00067C2A" w:rsidRDefault="00A35C68" w:rsidP="00E441EC">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35C68" w:rsidRPr="00067C2A" w:rsidRDefault="00A35C68" w:rsidP="00E441EC">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w:t>
            </w:r>
          </w:p>
        </w:tc>
        <w:tc>
          <w:tcPr>
            <w:tcW w:w="6712" w:type="dxa"/>
          </w:tcPr>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p>
          <w:p w:rsidR="00A35C68" w:rsidRPr="00067C2A" w:rsidRDefault="00A35C68" w:rsidP="00E441EC">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Pr>
                <w:rFonts w:asciiTheme="minorHAnsi" w:eastAsia="Times New Roman" w:hAnsiTheme="minorHAnsi" w:cstheme="minorHAnsi"/>
                <w:sz w:val="24"/>
                <w:szCs w:val="24"/>
                <w:lang w:eastAsia="pl-PL"/>
              </w:rPr>
              <w:t>10</w:t>
            </w:r>
            <w:r w:rsidRPr="00067C2A">
              <w:rPr>
                <w:rFonts w:asciiTheme="minorHAnsi" w:eastAsia="Times New Roman" w:hAnsiTheme="minorHAnsi" w:cstheme="minorHAnsi"/>
                <w:sz w:val="24"/>
                <w:szCs w:val="24"/>
                <w:lang w:eastAsia="pl-PL"/>
              </w:rPr>
              <w:t>0%</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 pkt</w:t>
            </w:r>
            <w:r w:rsidRPr="00067C2A">
              <w:rPr>
                <w:rFonts w:asciiTheme="minorHAnsi" w:eastAsia="Times New Roman" w:hAnsiTheme="minorHAnsi" w:cstheme="minorHAnsi"/>
                <w:sz w:val="24"/>
                <w:szCs w:val="24"/>
                <w:lang w:eastAsia="pl-PL"/>
              </w:rPr>
              <w:t>, pozostałe oferty – ilość punktów wyliczona według wzoru gdzie 1 pkt = 1%.</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306819">
              <w:rPr>
                <w:rFonts w:asciiTheme="minorHAnsi" w:eastAsia="Times New Roman" w:hAnsiTheme="minorHAnsi" w:cstheme="minorHAnsi"/>
                <w:b/>
                <w:szCs w:val="24"/>
                <w:lang w:eastAsia="pl-PL"/>
              </w:rPr>
              <w:t>Maksymalnie w tym kryterium wykonawca może otrzymać 100 pkt.</w:t>
            </w:r>
          </w:p>
        </w:tc>
      </w:tr>
    </w:tbl>
    <w:p w:rsidR="00A35C68" w:rsidRPr="00067C2A" w:rsidRDefault="00A35C68" w:rsidP="00A35C68">
      <w:pPr>
        <w:shd w:val="clear" w:color="auto" w:fill="FFFFFF"/>
        <w:ind w:right="100"/>
        <w:contextualSpacing/>
        <w:jc w:val="both"/>
        <w:rPr>
          <w:rFonts w:asciiTheme="minorHAnsi" w:eastAsia="Times New Roman" w:hAnsiTheme="minorHAnsi" w:cstheme="minorHAnsi"/>
          <w:color w:val="000000"/>
          <w:sz w:val="24"/>
          <w:szCs w:val="24"/>
        </w:rPr>
      </w:pPr>
    </w:p>
    <w:p w:rsidR="00A35C68" w:rsidRPr="008B63F4" w:rsidRDefault="00A35C68" w:rsidP="0009657B">
      <w:pPr>
        <w:pStyle w:val="Akapitzlist"/>
        <w:numPr>
          <w:ilvl w:val="0"/>
          <w:numId w:val="1"/>
        </w:numPr>
        <w:autoSpaceDE w:val="0"/>
        <w:autoSpaceDN w:val="0"/>
        <w:adjustRightInd w:val="0"/>
        <w:spacing w:line="240" w:lineRule="auto"/>
        <w:jc w:val="both"/>
        <w:rPr>
          <w:rFonts w:eastAsia="Times New Roman" w:cstheme="minorHAnsi"/>
          <w:b/>
          <w:color w:val="000000"/>
          <w:sz w:val="24"/>
          <w:szCs w:val="24"/>
          <w:u w:val="single"/>
        </w:rPr>
      </w:pPr>
      <w:bookmarkStart w:id="0" w:name="_GoBack"/>
      <w:r w:rsidRPr="008B63F4">
        <w:rPr>
          <w:rFonts w:cstheme="minorHAnsi"/>
          <w:sz w:val="24"/>
          <w:szCs w:val="24"/>
        </w:rPr>
        <w:t>Cena oferty - jest to cena oferty (z podatkiem VAT) za re</w:t>
      </w:r>
      <w:r w:rsidR="0009657B">
        <w:rPr>
          <w:rFonts w:cstheme="minorHAnsi"/>
          <w:sz w:val="24"/>
          <w:szCs w:val="24"/>
        </w:rPr>
        <w:t>alizację przedmiotu zamówienia wyliczona na podstawie formularza ofertowego stanowiącego załącznik nr 1 do SIWZ.</w:t>
      </w:r>
    </w:p>
    <w:bookmarkEnd w:id="0"/>
    <w:p w:rsidR="00A35C68" w:rsidRPr="00067C2A" w:rsidRDefault="00A35C68" w:rsidP="00A35C68">
      <w:pPr>
        <w:contextualSpacing/>
        <w:jc w:val="both"/>
        <w:rPr>
          <w:rFonts w:asciiTheme="minorHAnsi" w:eastAsia="Times New Roman" w:hAnsiTheme="minorHAnsi" w:cstheme="minorHAnsi"/>
          <w:color w:val="000000"/>
          <w:sz w:val="24"/>
          <w:szCs w:val="24"/>
        </w:rPr>
      </w:pPr>
      <w:r w:rsidRPr="008B63F4">
        <w:rPr>
          <w:rFonts w:asciiTheme="minorHAnsi" w:eastAsia="Times New Roman" w:hAnsiTheme="minorHAnsi" w:cstheme="minorHAnsi"/>
          <w:b/>
          <w:color w:val="000000"/>
          <w:sz w:val="24"/>
          <w:szCs w:val="24"/>
          <w:u w:val="single"/>
        </w:rPr>
        <w:t>Uwaga</w:t>
      </w:r>
      <w:r w:rsidRPr="008B63F4">
        <w:rPr>
          <w:rFonts w:asciiTheme="minorHAnsi" w:eastAsia="Times New Roman" w:hAnsiTheme="minorHAnsi" w:cstheme="minorHAnsi"/>
          <w:color w:val="000000"/>
          <w:sz w:val="24"/>
          <w:szCs w:val="24"/>
        </w:rPr>
        <w:t xml:space="preserve">: Jeżeli złożono ofertę, której </w:t>
      </w:r>
      <w:r w:rsidRPr="00067C2A">
        <w:rPr>
          <w:rFonts w:asciiTheme="minorHAnsi" w:eastAsia="Times New Roman" w:hAnsiTheme="minorHAnsi" w:cstheme="minorHAnsi"/>
          <w:color w:val="000000"/>
          <w:sz w:val="24"/>
          <w:szCs w:val="24"/>
        </w:rPr>
        <w:t>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35C68" w:rsidRPr="00067C2A" w:rsidRDefault="00A35C68" w:rsidP="00A35C68">
      <w:pPr>
        <w:tabs>
          <w:tab w:val="left" w:pos="567"/>
        </w:tabs>
        <w:contextualSpacing/>
        <w:jc w:val="both"/>
        <w:rPr>
          <w:rFonts w:asciiTheme="minorHAnsi" w:eastAsia="Times New Roman" w:hAnsiTheme="minorHAnsi" w:cstheme="minorHAnsi"/>
          <w:b/>
          <w:color w:val="000000"/>
          <w:sz w:val="24"/>
          <w:szCs w:val="24"/>
          <w:u w:val="single"/>
        </w:rPr>
      </w:pP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p>
    <w:p w:rsidR="00A35C68" w:rsidRPr="00306819" w:rsidRDefault="00A35C68" w:rsidP="00A35C68">
      <w:pPr>
        <w:tabs>
          <w:tab w:val="left" w:pos="567"/>
        </w:tabs>
        <w:contextualSpacing/>
        <w:jc w:val="both"/>
        <w:rPr>
          <w:rFonts w:asciiTheme="minorHAnsi" w:eastAsia="Times New Roman" w:hAnsiTheme="minorHAnsi" w:cstheme="minorHAnsi"/>
          <w:color w:val="000000"/>
          <w:sz w:val="24"/>
          <w:szCs w:val="24"/>
          <w:u w:val="single"/>
        </w:rPr>
      </w:pPr>
      <w:r w:rsidRPr="00306819">
        <w:rPr>
          <w:rFonts w:asciiTheme="minorHAnsi" w:eastAsia="Times New Roman" w:hAnsiTheme="minorHAnsi" w:cstheme="minorHAnsi"/>
          <w:color w:val="000000"/>
          <w:sz w:val="24"/>
          <w:szCs w:val="24"/>
          <w:u w:val="single"/>
        </w:rPr>
        <w:t xml:space="preserve">Uzasadnienie kryterium cena 100%. </w:t>
      </w:r>
    </w:p>
    <w:p w:rsidR="00A35C68" w:rsidRPr="00067C2A" w:rsidRDefault="00A35C68" w:rsidP="00A35C68">
      <w:pPr>
        <w:tabs>
          <w:tab w:val="left" w:pos="567"/>
        </w:tabs>
        <w:contextualSpacing/>
        <w:jc w:val="both"/>
        <w:rPr>
          <w:rFonts w:asciiTheme="minorHAnsi" w:eastAsia="Times New Roman" w:hAnsiTheme="minorHAnsi" w:cstheme="minorHAnsi"/>
          <w:color w:val="000000"/>
          <w:sz w:val="24"/>
          <w:szCs w:val="24"/>
        </w:rPr>
      </w:pPr>
      <w:r w:rsidRPr="00306819">
        <w:rPr>
          <w:rFonts w:asciiTheme="minorHAnsi" w:eastAsia="Times New Roman" w:hAnsiTheme="minorHAnsi" w:cstheme="minorHAnsi"/>
          <w:color w:val="000000"/>
          <w:sz w:val="24"/>
          <w:szCs w:val="24"/>
        </w:rPr>
        <w:t>Standardy jakościowe, o których mowa w art. 91 ust. 2a, zostały określone w opisie przedmiotu zamówienia.</w:t>
      </w:r>
      <w:r>
        <w:rPr>
          <w:rFonts w:asciiTheme="minorHAnsi" w:eastAsia="Times New Roman" w:hAnsiTheme="minorHAnsi" w:cstheme="minorHAnsi"/>
          <w:color w:val="000000"/>
          <w:sz w:val="24"/>
          <w:szCs w:val="24"/>
        </w:rPr>
        <w:t xml:space="preserve"> </w:t>
      </w:r>
      <w:r w:rsidRPr="00306819">
        <w:rPr>
          <w:rFonts w:asciiTheme="minorHAnsi" w:eastAsia="Times New Roman" w:hAnsiTheme="minorHAnsi" w:cstheme="minorHAnsi"/>
          <w:color w:val="000000"/>
          <w:sz w:val="24"/>
          <w:szCs w:val="24"/>
        </w:rPr>
        <w:t>Wskazują je parametry techniczne każdego z produktów. Dokumenty, które opisują przedmiot zamówienia są tak precyzyjne, że bez względu na to, kto będzie Wykonawcą przedmiotu zamówienia, jedyną różnicą będzie zaoferowana cena. Przedmiot zamówienia jest zestandaryzowany – identyczny bez względu na to, który z wykonawców go wykona. Zamawiający może zatem zastosować cenę jako jedyne kryterium wyboru oferty najkorzystniejszej. W odniesieniu do kosztów cyklu życia przedmiotu zamówienia - nie ma potrzeby ich uwzględniania w opisie przedmiotu zamówienia, ponieważ nie mają zastosowania przy dostawie energii elektrycznej.</w:t>
      </w:r>
    </w:p>
    <w:p w:rsidR="00A35C68" w:rsidRPr="00067C2A" w:rsidRDefault="00A35C68" w:rsidP="00A35C68">
      <w:pPr>
        <w:tabs>
          <w:tab w:val="left" w:pos="567"/>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Zamawiający będzie rozliczał się z Wykonawcą wyłącznie z uwzględnieniem waluty polskiej (PLN).</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Umowa zawarta zostanie z uwzględnieniem postanowień wynikających z treści SIWZ oraz danych zawartych w ofercie. Zamawiający dopuszcza zawarcie umowy na przedstawionym przez wykonawcę standardowym formularzu umowy stosowanym przez wykonawcę w jego działalności.</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Wynagrodzenie wykonawcy zostanie obliczone na podstawie faktycznego zużycia energii przez Zamawiającego z zastosowaniem stawki za 1MWh podaną w ofercie. Pozostała część wynagrodzenia miesięcznego wykonawcy z tytułu realizacji umowy obliczona zostanie jako 1/12 stawki podanej zgodnie z pkt. XIV </w:t>
      </w:r>
      <w:proofErr w:type="spellStart"/>
      <w:r w:rsidRPr="00D70624">
        <w:rPr>
          <w:rFonts w:asciiTheme="minorHAnsi" w:hAnsiTheme="minorHAnsi" w:cstheme="minorHAnsi"/>
          <w:color w:val="000000"/>
          <w:sz w:val="24"/>
          <w:szCs w:val="24"/>
        </w:rPr>
        <w:t>ppkt</w:t>
      </w:r>
      <w:proofErr w:type="spellEnd"/>
      <w:r w:rsidRPr="00D70624">
        <w:rPr>
          <w:rFonts w:asciiTheme="minorHAnsi" w:hAnsiTheme="minorHAnsi" w:cstheme="minorHAnsi"/>
          <w:color w:val="000000"/>
          <w:sz w:val="24"/>
          <w:szCs w:val="24"/>
        </w:rPr>
        <w:t xml:space="preserve"> 2 lit. b niniejszej Specyfikacji. Wykonawcy nie będzie przysługiwało od Zamawiającego żadne inne wynagrodzenie z tytułu realizacji zawartej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Cena zawarta w umowie nie ulegnie zmianie przez cały okres umowy, niezależnie od zmian cen energii na rynku, w szczególności nie będzie podstawą zmiany ceny lub wypowiedzenia umowy ze strony wykonawcy podwyżka cen uprawnień do emisji gazów cieplarnianych w rozumieniu ustawy z dnia 12 czerwca 2015 r. o systemie handlu uprawnieniami do emisji gazów cieplarnianych. </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Umowy w sprawach zamówień publicznych są jawne i podlegają udostępnianiu na zasadach określonych w przepisach o dostępie do informacji publicznej.</w:t>
      </w:r>
    </w:p>
    <w:p w:rsidR="006B36B8" w:rsidRPr="006B36B8" w:rsidRDefault="00A35C68" w:rsidP="006B36B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Podane  roczne zużycie </w:t>
      </w:r>
      <w:r w:rsidRPr="00D70624">
        <w:rPr>
          <w:rFonts w:asciiTheme="minorHAnsi" w:hAnsiTheme="minorHAnsi" w:cstheme="minorHAnsi"/>
          <w:sz w:val="24"/>
          <w:szCs w:val="24"/>
        </w:rPr>
        <w:t>energii:</w:t>
      </w:r>
      <w:r w:rsidRPr="00D70624">
        <w:rPr>
          <w:rFonts w:asciiTheme="minorHAnsi" w:hAnsiTheme="minorHAnsi" w:cstheme="minorHAnsi"/>
          <w:bCs/>
          <w:sz w:val="24"/>
          <w:szCs w:val="24"/>
        </w:rPr>
        <w:t xml:space="preserve"> </w:t>
      </w:r>
      <w:proofErr w:type="spellStart"/>
      <w:r w:rsidR="006B36B8">
        <w:rPr>
          <w:rFonts w:asciiTheme="minorHAnsi" w:hAnsiTheme="minorHAnsi" w:cstheme="minorHAnsi"/>
          <w:bCs/>
          <w:sz w:val="24"/>
          <w:szCs w:val="24"/>
        </w:rPr>
        <w:t>ff</w:t>
      </w:r>
      <w:proofErr w:type="spellEnd"/>
    </w:p>
    <w:p w:rsidR="006B36B8" w:rsidRPr="00D70624" w:rsidRDefault="006B36B8" w:rsidP="006B36B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1 ul. Forteczna 12, 61-362 Poznań – </w:t>
      </w:r>
      <w:r w:rsidRPr="00D70624">
        <w:rPr>
          <w:rFonts w:asciiTheme="minorHAnsi" w:hAnsiTheme="minorHAnsi" w:cstheme="minorHAnsi"/>
          <w:sz w:val="24"/>
          <w:szCs w:val="24"/>
        </w:rPr>
        <w:t>600 MWh</w:t>
      </w:r>
    </w:p>
    <w:p w:rsidR="006B36B8" w:rsidRPr="00D70624" w:rsidRDefault="006B36B8" w:rsidP="006B36B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2 ul. Kręta 12, Wierzenica, 62-006 Kobylnica - </w:t>
      </w:r>
      <w:r w:rsidRPr="00D70624">
        <w:rPr>
          <w:rFonts w:asciiTheme="minorHAnsi" w:hAnsiTheme="minorHAnsi" w:cstheme="minorHAnsi"/>
          <w:sz w:val="24"/>
          <w:szCs w:val="24"/>
        </w:rPr>
        <w:t>250 MWh</w:t>
      </w:r>
    </w:p>
    <w:p w:rsidR="006B36B8" w:rsidRPr="00D82068" w:rsidRDefault="006B36B8" w:rsidP="006B36B8">
      <w:pPr>
        <w:spacing w:line="240" w:lineRule="auto"/>
        <w:ind w:left="567"/>
        <w:contextualSpacing/>
        <w:jc w:val="both"/>
        <w:rPr>
          <w:rFonts w:asciiTheme="minorHAnsi" w:hAnsiTheme="minorHAnsi" w:cstheme="minorHAnsi"/>
          <w:color w:val="000000"/>
          <w:sz w:val="24"/>
          <w:szCs w:val="24"/>
        </w:rPr>
      </w:pPr>
      <w:r w:rsidRPr="00D82068">
        <w:rPr>
          <w:rFonts w:asciiTheme="minorHAnsi" w:hAnsiTheme="minorHAnsi" w:cstheme="minorHAnsi"/>
          <w:color w:val="000000"/>
          <w:sz w:val="24"/>
          <w:szCs w:val="24"/>
        </w:rPr>
        <w:t>stanowi  wartość szacunkową i  nie stanowi dla Zamawiającego  zobowiązania  do zakupu energii elektrycznej w podanej ilości.</w:t>
      </w:r>
    </w:p>
    <w:p w:rsidR="00D82068" w:rsidRPr="00D82068" w:rsidRDefault="00D82068" w:rsidP="00D820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82068">
        <w:rPr>
          <w:rFonts w:asciiTheme="minorHAnsi" w:hAnsiTheme="minorHAnsi" w:cstheme="minorHAnsi"/>
          <w:sz w:val="24"/>
          <w:szCs w:val="24"/>
        </w:rPr>
        <w:t>Z</w:t>
      </w:r>
      <w:r w:rsidRPr="00D82068">
        <w:rPr>
          <w:rFonts w:asciiTheme="minorHAnsi" w:hAnsiTheme="minorHAnsi" w:cstheme="minorHAnsi"/>
          <w:color w:val="000000" w:themeColor="text1"/>
          <w:sz w:val="24"/>
          <w:szCs w:val="24"/>
        </w:rPr>
        <w:t>amawiający wymaga minimum 21-dniowego terminu płatności faktur.</w:t>
      </w:r>
    </w:p>
    <w:p w:rsidR="006B36B8" w:rsidRPr="006B36B8" w:rsidRDefault="006B36B8" w:rsidP="006B36B8">
      <w:pPr>
        <w:numPr>
          <w:ilvl w:val="0"/>
          <w:numId w:val="8"/>
        </w:numPr>
        <w:spacing w:line="240" w:lineRule="auto"/>
        <w:contextualSpacing/>
        <w:jc w:val="both"/>
        <w:rPr>
          <w:rFonts w:asciiTheme="minorHAnsi" w:eastAsia="Times New Roman" w:hAnsiTheme="minorHAnsi" w:cstheme="minorHAnsi"/>
          <w:sz w:val="24"/>
          <w:szCs w:val="24"/>
          <w:lang w:eastAsia="pl-PL"/>
        </w:rPr>
      </w:pPr>
      <w:r w:rsidRPr="00D82068">
        <w:rPr>
          <w:rFonts w:asciiTheme="minorHAnsi" w:hAnsiTheme="minorHAnsi" w:cstheme="minorHAnsi"/>
          <w:sz w:val="24"/>
          <w:szCs w:val="24"/>
        </w:rPr>
        <w:t>W przypadku zmiany wynikającej z przepisów prawa: stawki podatku akcyzowego na energię</w:t>
      </w:r>
      <w:r w:rsidRPr="006B36B8">
        <w:rPr>
          <w:rFonts w:asciiTheme="minorHAnsi" w:hAnsiTheme="minorHAnsi" w:cstheme="minorHAnsi"/>
          <w:sz w:val="24"/>
          <w:szCs w:val="24"/>
        </w:rPr>
        <w:t xml:space="preserve"> elektryczną oraz podatku VAT zawarte w umowie ceny ulegną zmianie stosownie do zmienionych przepisów.</w:t>
      </w:r>
    </w:p>
    <w:p w:rsidR="006B36B8" w:rsidRPr="006B36B8" w:rsidRDefault="006B36B8" w:rsidP="006B36B8">
      <w:pPr>
        <w:spacing w:line="240" w:lineRule="auto"/>
        <w:ind w:left="567"/>
        <w:contextualSpacing/>
        <w:jc w:val="both"/>
        <w:rPr>
          <w:rFonts w:asciiTheme="minorHAnsi" w:eastAsia="Times New Roman" w:hAnsiTheme="minorHAnsi" w:cstheme="minorHAnsi"/>
          <w:sz w:val="24"/>
          <w:szCs w:val="24"/>
          <w:lang w:eastAsia="pl-PL"/>
        </w:rPr>
      </w:pPr>
    </w:p>
    <w:p w:rsidR="006B36B8" w:rsidRPr="00D70624" w:rsidRDefault="006B36B8" w:rsidP="00A35C68">
      <w:pPr>
        <w:spacing w:line="240" w:lineRule="auto"/>
        <w:ind w:left="567"/>
        <w:contextualSpacing/>
        <w:jc w:val="both"/>
        <w:rPr>
          <w:rFonts w:asciiTheme="minorHAnsi" w:hAnsiTheme="minorHAnsi" w:cstheme="minorHAnsi"/>
          <w:color w:val="000000"/>
          <w:sz w:val="24"/>
          <w:szCs w:val="24"/>
        </w:rPr>
      </w:pP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422BA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w:t>
      </w:r>
      <w:r>
        <w:rPr>
          <w:rFonts w:asciiTheme="minorHAnsi" w:eastAsia="Times New Roman" w:hAnsiTheme="minorHAnsi" w:cstheme="minorHAnsi"/>
          <w:color w:val="000000"/>
          <w:sz w:val="24"/>
          <w:szCs w:val="24"/>
          <w:lang w:eastAsia="pl-PL"/>
        </w:rPr>
        <w:t xml:space="preserve"> </w:t>
      </w:r>
      <w:r w:rsidRPr="00422BA6">
        <w:rPr>
          <w:rFonts w:asciiTheme="minorHAnsi" w:eastAsia="Times New Roman" w:hAnsiTheme="minorHAnsi" w:cstheme="minorHAnsi"/>
          <w:color w:val="000000"/>
          <w:sz w:val="24"/>
          <w:szCs w:val="24"/>
          <w:lang w:eastAsia="pl-PL"/>
        </w:rPr>
        <w:t>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Jeżeli wartość zamówienia jest mniejsza niż kwoty określone w przepisach wydanych na podstawie art.11 ust. 8, odwołanie przysługuje wyłącznie wobec czynności (art. 180 ust. 2 ustawy):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EA33CE" w:rsidRPr="005C0F98" w:rsidRDefault="00A35C68" w:rsidP="005C0F98">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sectPr w:rsidR="00EA33CE" w:rsidRPr="005C0F98" w:rsidSect="008C4CD7">
      <w:headerReference w:type="default" r:id="rId10"/>
      <w:footerReference w:type="default" r:id="rId11"/>
      <w:pgSz w:w="11906" w:h="16838"/>
      <w:pgMar w:top="8" w:right="1134" w:bottom="568" w:left="1701" w:header="1134"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CB" w:rsidRDefault="00B46FCB" w:rsidP="00790505">
      <w:pPr>
        <w:spacing w:line="240" w:lineRule="auto"/>
      </w:pPr>
      <w:r>
        <w:separator/>
      </w:r>
    </w:p>
  </w:endnote>
  <w:endnote w:type="continuationSeparator" w:id="0">
    <w:p w:rsidR="00B46FCB" w:rsidRDefault="00B46FC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17" w:rsidRPr="001F4D7F" w:rsidRDefault="00393017" w:rsidP="00393017">
    <w:pPr>
      <w:autoSpaceDE w:val="0"/>
      <w:autoSpaceDN w:val="0"/>
      <w:adjustRightInd w:val="0"/>
      <w:spacing w:line="240" w:lineRule="auto"/>
      <w:ind w:left="-706" w:right="-590"/>
      <w:jc w:val="center"/>
      <w:rPr>
        <w:rFonts w:asciiTheme="majorHAnsi" w:hAnsiTheme="majorHAnsi" w:cstheme="majorHAnsi"/>
        <w:b/>
        <w: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FDCF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A73D94" w:rsidRPr="00A73D94" w:rsidRDefault="00A73D94" w:rsidP="00A73D94">
    <w:pPr>
      <w:pStyle w:val="LukStopka-adres"/>
      <w:spacing w:line="240" w:lineRule="auto"/>
      <w:jc w:val="center"/>
      <w:rPr>
        <w:sz w:val="18"/>
        <w:szCs w:val="18"/>
      </w:rPr>
    </w:pPr>
    <w:r>
      <w:rPr>
        <w:lang w:eastAsia="pl-PL"/>
      </w:rPr>
      <w:drawing>
        <wp:anchor distT="0" distB="0" distL="114300" distR="114300" simplePos="0" relativeHeight="251665408" behindDoc="0" locked="0" layoutInCell="1" allowOverlap="1" wp14:anchorId="52080D2D" wp14:editId="19EE5B61">
          <wp:simplePos x="0" y="0"/>
          <wp:positionH relativeFrom="margin">
            <wp:posOffset>-142875</wp:posOffset>
          </wp:positionH>
          <wp:positionV relativeFrom="paragraph">
            <wp:posOffset>151765</wp:posOffset>
          </wp:positionV>
          <wp:extent cx="561975" cy="622300"/>
          <wp:effectExtent l="0" t="0" r="9525" b="6350"/>
          <wp:wrapNone/>
          <wp:docPr id="18" name="Obraz 18"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9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D94">
      <w:rPr>
        <w:sz w:val="18"/>
        <w:szCs w:val="18"/>
      </w:rPr>
      <w:t>Sieć Badawcza Łukasiewicz – Instytut Metali Nieżelaznych Oddział w Poznaniu</w:t>
    </w:r>
  </w:p>
  <w:p w:rsidR="00A73D94" w:rsidRPr="00A73D94" w:rsidRDefault="00A73D94" w:rsidP="00A73D94">
    <w:pPr>
      <w:pStyle w:val="LukStopka-adres"/>
      <w:spacing w:line="240" w:lineRule="auto"/>
      <w:jc w:val="center"/>
      <w:rPr>
        <w:sz w:val="18"/>
        <w:szCs w:val="18"/>
      </w:rPr>
    </w:pPr>
    <w:r w:rsidRPr="00A73D94">
      <w:rPr>
        <w:sz w:val="18"/>
        <w:szCs w:val="18"/>
      </w:rPr>
      <w:t>Centralne Laboratorium Akumulatorów i Ogniw</w:t>
    </w:r>
  </w:p>
  <w:p w:rsidR="00A73D94" w:rsidRPr="00A73D94" w:rsidRDefault="00A73D94" w:rsidP="00A73D94">
    <w:pPr>
      <w:pStyle w:val="LukStopka-adres"/>
      <w:spacing w:line="240" w:lineRule="auto"/>
      <w:jc w:val="center"/>
      <w:rPr>
        <w:sz w:val="18"/>
        <w:szCs w:val="18"/>
        <w:lang w:val="en-US"/>
      </w:rPr>
    </w:pPr>
    <w:r w:rsidRPr="00A73D94">
      <w:rPr>
        <w:sz w:val="18"/>
        <w:szCs w:val="18"/>
      </w:rPr>
      <w:t xml:space="preserve">61-362 Poznań, ul. </w:t>
    </w:r>
    <w:r w:rsidRPr="00A73D94">
      <w:rPr>
        <w:sz w:val="18"/>
        <w:szCs w:val="18"/>
        <w:lang w:val="en-US"/>
      </w:rPr>
      <w:t>Forteczna 12, tel: +48 61 27 97 800, e-mail: claio@claio.poznan.pl</w:t>
    </w:r>
  </w:p>
  <w:p w:rsidR="00A73D94" w:rsidRPr="00A73D94" w:rsidRDefault="00A73D94" w:rsidP="00A73D94">
    <w:pPr>
      <w:pStyle w:val="LukStopka-adres"/>
      <w:spacing w:line="240" w:lineRule="auto"/>
      <w:jc w:val="center"/>
      <w:rPr>
        <w:sz w:val="18"/>
        <w:szCs w:val="18"/>
      </w:rPr>
    </w:pPr>
    <w:r w:rsidRPr="00A73D94">
      <w:rPr>
        <w:sz w:val="18"/>
        <w:szCs w:val="18"/>
      </w:rPr>
      <w:t>NIP: 631 020 07 71 | REGON: 000027542 | BDO: 000011457</w:t>
    </w:r>
  </w:p>
  <w:p w:rsidR="00A73D94" w:rsidRPr="00A73D94" w:rsidRDefault="00A73D94" w:rsidP="00A73D94">
    <w:pPr>
      <w:pStyle w:val="LukStopka-adres"/>
      <w:spacing w:line="240" w:lineRule="auto"/>
      <w:jc w:val="center"/>
      <w:rPr>
        <w:sz w:val="18"/>
        <w:szCs w:val="18"/>
      </w:rPr>
    </w:pPr>
    <w:r w:rsidRPr="00A73D94">
      <w:rPr>
        <w:sz w:val="18"/>
        <w:szCs w:val="18"/>
      </w:rPr>
      <w:t>Sąd Rejonowy w Gliwicach, X Wydział Gospodarczy, KRS: 0000853498</w:t>
    </w:r>
    <w:r w:rsidRPr="00A73D94">
      <w:rPr>
        <w:sz w:val="18"/>
        <w:szCs w:val="18"/>
      </w:rPr>
      <w:br/>
      <w:t>SANTANDER BANK POLSKA S.A. 73 1090 1346 0000 0000 3400 0300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CB" w:rsidRDefault="00B46FCB" w:rsidP="00790505">
      <w:pPr>
        <w:spacing w:line="240" w:lineRule="auto"/>
      </w:pPr>
      <w:r>
        <w:separator/>
      </w:r>
    </w:p>
  </w:footnote>
  <w:footnote w:type="continuationSeparator" w:id="0">
    <w:p w:rsidR="00B46FCB" w:rsidRDefault="00B46FC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A80EA2"/>
    <w:multiLevelType w:val="hybridMultilevel"/>
    <w:tmpl w:val="301C2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A70C9"/>
    <w:multiLevelType w:val="hybridMultilevel"/>
    <w:tmpl w:val="27DA5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1012E25"/>
    <w:multiLevelType w:val="hybridMultilevel"/>
    <w:tmpl w:val="110EBF0E"/>
    <w:lvl w:ilvl="0" w:tplc="3EA8FF3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4323A2"/>
    <w:multiLevelType w:val="hybridMultilevel"/>
    <w:tmpl w:val="717E6316"/>
    <w:lvl w:ilvl="0" w:tplc="E72640E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CF96E51"/>
    <w:multiLevelType w:val="hybridMultilevel"/>
    <w:tmpl w:val="C7C8EB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7"/>
  </w:num>
  <w:num w:numId="2">
    <w:abstractNumId w:val="33"/>
  </w:num>
  <w:num w:numId="3">
    <w:abstractNumId w:val="22"/>
  </w:num>
  <w:num w:numId="4">
    <w:abstractNumId w:val="30"/>
  </w:num>
  <w:num w:numId="5">
    <w:abstractNumId w:val="6"/>
  </w:num>
  <w:num w:numId="6">
    <w:abstractNumId w:val="0"/>
  </w:num>
  <w:num w:numId="7">
    <w:abstractNumId w:val="18"/>
  </w:num>
  <w:num w:numId="8">
    <w:abstractNumId w:val="15"/>
  </w:num>
  <w:num w:numId="9">
    <w:abstractNumId w:val="17"/>
  </w:num>
  <w:num w:numId="10">
    <w:abstractNumId w:val="9"/>
  </w:num>
  <w:num w:numId="11">
    <w:abstractNumId w:val="12"/>
  </w:num>
  <w:num w:numId="12">
    <w:abstractNumId w:val="13"/>
  </w:num>
  <w:num w:numId="13">
    <w:abstractNumId w:val="31"/>
  </w:num>
  <w:num w:numId="14">
    <w:abstractNumId w:val="39"/>
  </w:num>
  <w:num w:numId="15">
    <w:abstractNumId w:val="3"/>
  </w:num>
  <w:num w:numId="16">
    <w:abstractNumId w:val="2"/>
  </w:num>
  <w:num w:numId="17">
    <w:abstractNumId w:val="25"/>
  </w:num>
  <w:num w:numId="18">
    <w:abstractNumId w:val="42"/>
  </w:num>
  <w:num w:numId="19">
    <w:abstractNumId w:val="21"/>
  </w:num>
  <w:num w:numId="20">
    <w:abstractNumId w:val="23"/>
  </w:num>
  <w:num w:numId="21">
    <w:abstractNumId w:val="28"/>
  </w:num>
  <w:num w:numId="22">
    <w:abstractNumId w:val="26"/>
  </w:num>
  <w:num w:numId="23">
    <w:abstractNumId w:val="43"/>
  </w:num>
  <w:num w:numId="24">
    <w:abstractNumId w:val="35"/>
  </w:num>
  <w:num w:numId="25">
    <w:abstractNumId w:val="5"/>
  </w:num>
  <w:num w:numId="26">
    <w:abstractNumId w:val="40"/>
  </w:num>
  <w:num w:numId="27">
    <w:abstractNumId w:val="32"/>
  </w:num>
  <w:num w:numId="28">
    <w:abstractNumId w:val="24"/>
  </w:num>
  <w:num w:numId="29">
    <w:abstractNumId w:val="20"/>
  </w:num>
  <w:num w:numId="30">
    <w:abstractNumId w:val="29"/>
  </w:num>
  <w:num w:numId="31">
    <w:abstractNumId w:val="27"/>
  </w:num>
  <w:num w:numId="32">
    <w:abstractNumId w:val="34"/>
  </w:num>
  <w:num w:numId="33">
    <w:abstractNumId w:val="10"/>
  </w:num>
  <w:num w:numId="34">
    <w:abstractNumId w:val="4"/>
  </w:num>
  <w:num w:numId="35">
    <w:abstractNumId w:val="7"/>
  </w:num>
  <w:num w:numId="36">
    <w:abstractNumId w:val="3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
  </w:num>
  <w:num w:numId="39">
    <w:abstractNumId w:val="19"/>
  </w:num>
  <w:num w:numId="40">
    <w:abstractNumId w:val="8"/>
  </w:num>
  <w:num w:numId="41">
    <w:abstractNumId w:val="38"/>
  </w:num>
  <w:num w:numId="42">
    <w:abstractNumId w:val="14"/>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9657B"/>
    <w:rsid w:val="000B1242"/>
    <w:rsid w:val="00170869"/>
    <w:rsid w:val="0017144D"/>
    <w:rsid w:val="00236EDB"/>
    <w:rsid w:val="00242433"/>
    <w:rsid w:val="002B6F68"/>
    <w:rsid w:val="002E73DA"/>
    <w:rsid w:val="003141B3"/>
    <w:rsid w:val="00381EF3"/>
    <w:rsid w:val="00382BCA"/>
    <w:rsid w:val="00393017"/>
    <w:rsid w:val="00422BA6"/>
    <w:rsid w:val="00432425"/>
    <w:rsid w:val="004D3276"/>
    <w:rsid w:val="00526696"/>
    <w:rsid w:val="00570573"/>
    <w:rsid w:val="0058413E"/>
    <w:rsid w:val="005A4986"/>
    <w:rsid w:val="005C0F98"/>
    <w:rsid w:val="00661247"/>
    <w:rsid w:val="00673FB4"/>
    <w:rsid w:val="006B36B8"/>
    <w:rsid w:val="0070153E"/>
    <w:rsid w:val="00790505"/>
    <w:rsid w:val="007C4B87"/>
    <w:rsid w:val="007E0030"/>
    <w:rsid w:val="007E43D7"/>
    <w:rsid w:val="00816DEF"/>
    <w:rsid w:val="008439CA"/>
    <w:rsid w:val="00860236"/>
    <w:rsid w:val="0087740A"/>
    <w:rsid w:val="008828BC"/>
    <w:rsid w:val="00892356"/>
    <w:rsid w:val="00892D6F"/>
    <w:rsid w:val="008C4CD7"/>
    <w:rsid w:val="00916C17"/>
    <w:rsid w:val="0093645B"/>
    <w:rsid w:val="00A31372"/>
    <w:rsid w:val="00A35C68"/>
    <w:rsid w:val="00A73D94"/>
    <w:rsid w:val="00B454EE"/>
    <w:rsid w:val="00B46FCB"/>
    <w:rsid w:val="00B6247E"/>
    <w:rsid w:val="00B825B6"/>
    <w:rsid w:val="00B83F90"/>
    <w:rsid w:val="00B84DD9"/>
    <w:rsid w:val="00BF3E8B"/>
    <w:rsid w:val="00C636F5"/>
    <w:rsid w:val="00C66A48"/>
    <w:rsid w:val="00C76952"/>
    <w:rsid w:val="00CB5666"/>
    <w:rsid w:val="00CC529A"/>
    <w:rsid w:val="00CF44AA"/>
    <w:rsid w:val="00D27C34"/>
    <w:rsid w:val="00D65CAF"/>
    <w:rsid w:val="00D82068"/>
    <w:rsid w:val="00D9702A"/>
    <w:rsid w:val="00DC0B6A"/>
    <w:rsid w:val="00E03A55"/>
    <w:rsid w:val="00E2167F"/>
    <w:rsid w:val="00E440AB"/>
    <w:rsid w:val="00E66817"/>
    <w:rsid w:val="00E71230"/>
    <w:rsid w:val="00EA33CE"/>
    <w:rsid w:val="00F07CFD"/>
    <w:rsid w:val="00F364F9"/>
    <w:rsid w:val="00F45CC1"/>
    <w:rsid w:val="00F90349"/>
    <w:rsid w:val="00FB580D"/>
    <w:rsid w:val="00FD28D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035305"/>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6D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DEF"/>
    <w:rPr>
      <w:rFonts w:ascii="Segoe UI" w:eastAsia="Calibri" w:hAnsi="Segoe UI" w:cs="Segoe UI"/>
      <w:sz w:val="18"/>
      <w:szCs w:val="18"/>
    </w:rPr>
  </w:style>
  <w:style w:type="paragraph" w:customStyle="1" w:styleId="LukStopka-adres">
    <w:name w:val="Luk_Stopka-adres"/>
    <w:basedOn w:val="Normalny"/>
    <w:qFormat/>
    <w:rsid w:val="00A73D94"/>
    <w:pPr>
      <w:spacing w:line="170" w:lineRule="exact"/>
    </w:pPr>
    <w:rPr>
      <w:rFonts w:asciiTheme="minorHAnsi" w:eastAsiaTheme="minorHAnsi" w:hAnsiTheme="minorHAnsi" w:cstheme="minorBidi"/>
      <w:noProof/>
      <w:color w:val="44546A" w:themeColor="text2"/>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5E15-D7BD-4429-8AE3-136DD6FC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6450</Words>
  <Characters>38706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cp:lastPrinted>2020-11-03T09:35:00Z</cp:lastPrinted>
  <dcterms:created xsi:type="dcterms:W3CDTF">2020-11-17T12:25:00Z</dcterms:created>
  <dcterms:modified xsi:type="dcterms:W3CDTF">2020-11-17T12:28:00Z</dcterms:modified>
</cp:coreProperties>
</file>