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D5" w:rsidRPr="002668F5" w:rsidRDefault="005C2BD5" w:rsidP="002668F5">
      <w:pPr>
        <w:keepNext/>
        <w:keepLines/>
        <w:spacing w:before="240" w:after="0"/>
        <w:jc w:val="right"/>
        <w:outlineLvl w:val="0"/>
        <w:rPr>
          <w:rFonts w:eastAsiaTheme="majorEastAsia" w:cstheme="majorBidi"/>
          <w:sz w:val="24"/>
          <w:szCs w:val="24"/>
        </w:rPr>
      </w:pPr>
      <w:r w:rsidRPr="002668F5">
        <w:rPr>
          <w:rFonts w:eastAsiaTheme="majorEastAsia" w:cstheme="majorBidi"/>
          <w:sz w:val="24"/>
          <w:szCs w:val="24"/>
        </w:rPr>
        <w:t xml:space="preserve">Załącznik nr </w:t>
      </w:r>
      <w:r w:rsidR="002668F5" w:rsidRPr="002668F5">
        <w:rPr>
          <w:rFonts w:eastAsiaTheme="majorEastAsia" w:cstheme="majorBidi"/>
          <w:sz w:val="24"/>
          <w:szCs w:val="24"/>
        </w:rPr>
        <w:t>2</w:t>
      </w:r>
      <w:r w:rsidRPr="002668F5">
        <w:rPr>
          <w:rFonts w:eastAsiaTheme="majorEastAsia" w:cstheme="majorBidi"/>
          <w:sz w:val="24"/>
          <w:szCs w:val="24"/>
        </w:rPr>
        <w:t xml:space="preserve"> do </w:t>
      </w:r>
      <w:r w:rsidR="002668F5" w:rsidRPr="002668F5">
        <w:rPr>
          <w:rFonts w:eastAsiaTheme="majorEastAsia" w:cstheme="majorBidi"/>
          <w:sz w:val="24"/>
          <w:szCs w:val="24"/>
        </w:rPr>
        <w:t>S</w:t>
      </w:r>
      <w:r w:rsidRPr="002668F5">
        <w:rPr>
          <w:rFonts w:eastAsiaTheme="majorEastAsia" w:cstheme="majorBidi"/>
          <w:sz w:val="24"/>
          <w:szCs w:val="24"/>
        </w:rPr>
        <w:t>OPZ</w:t>
      </w:r>
    </w:p>
    <w:p w:rsidR="002E74CC" w:rsidRPr="002E74CC" w:rsidRDefault="00191738" w:rsidP="002E74CC">
      <w:pPr>
        <w:pStyle w:val="Nagwek1"/>
      </w:pPr>
      <w:r>
        <w:t>Specyfikacja s</w:t>
      </w:r>
      <w:r w:rsidR="00EB11D5">
        <w:t>ystem</w:t>
      </w:r>
      <w:r>
        <w:t>u</w:t>
      </w:r>
      <w:r w:rsidR="00EB11D5">
        <w:t xml:space="preserve"> operacyjn</w:t>
      </w:r>
      <w:r w:rsidR="00024BE9">
        <w:t>ego:</w:t>
      </w:r>
    </w:p>
    <w:p w:rsidR="00EB11D5" w:rsidRDefault="00EB11D5" w:rsidP="00EB11D5">
      <w:pPr>
        <w:pStyle w:val="Nagwek2"/>
        <w:rPr>
          <w:rFonts w:eastAsia="Times New Roman"/>
        </w:rPr>
      </w:pPr>
      <w:r>
        <w:rPr>
          <w:rFonts w:eastAsia="Times New Roman"/>
        </w:rPr>
        <w:t xml:space="preserve">System operacyjny </w:t>
      </w:r>
      <w:r w:rsidR="00F556DD">
        <w:rPr>
          <w:rFonts w:eastAsia="Times New Roman"/>
        </w:rPr>
        <w:t xml:space="preserve">w </w:t>
      </w:r>
      <w:r>
        <w:rPr>
          <w:rFonts w:eastAsia="Times New Roman"/>
        </w:rPr>
        <w:t>polskiej wersji językowej, uprawniają</w:t>
      </w:r>
      <w:r w:rsidR="003A007B">
        <w:rPr>
          <w:rFonts w:eastAsia="Times New Roman"/>
        </w:rPr>
        <w:t>cy</w:t>
      </w:r>
      <w:r>
        <w:rPr>
          <w:rFonts w:eastAsia="Times New Roman"/>
        </w:rPr>
        <w:t xml:space="preserve"> do użytkowania najnowszej dostępnej w dniu składania oferty wersji systemu operacyjnego danego producenta z  bezterminową licencją</w:t>
      </w:r>
      <w:r w:rsidR="00FE3230">
        <w:rPr>
          <w:rFonts w:eastAsia="Times New Roman"/>
        </w:rPr>
        <w:t xml:space="preserve"> użytkowania</w:t>
      </w:r>
      <w:r w:rsidR="005F176F">
        <w:rPr>
          <w:rFonts w:eastAsia="Times New Roman"/>
        </w:rPr>
        <w:t xml:space="preserve"> w podmiotach leczniczych</w:t>
      </w:r>
      <w:r w:rsidR="00FE3230">
        <w:rPr>
          <w:rFonts w:eastAsia="Times New Roman"/>
        </w:rPr>
        <w:t>.</w:t>
      </w:r>
    </w:p>
    <w:p w:rsidR="00CE0198" w:rsidRPr="002668F5" w:rsidRDefault="00CE0198" w:rsidP="00CE0198">
      <w:pPr>
        <w:pStyle w:val="Nagwek2"/>
        <w:rPr>
          <w:rFonts w:eastAsia="Times New Roman"/>
        </w:rPr>
      </w:pPr>
      <w:r w:rsidRPr="00CE0198">
        <w:rPr>
          <w:rFonts w:eastAsia="Times New Roman"/>
        </w:rPr>
        <w:t xml:space="preserve">W przypadku dostawy </w:t>
      </w:r>
      <w:r>
        <w:rPr>
          <w:rFonts w:eastAsia="Times New Roman"/>
        </w:rPr>
        <w:t>oprogramowa</w:t>
      </w:r>
      <w:bookmarkStart w:id="0" w:name="_GoBack"/>
      <w:bookmarkEnd w:id="0"/>
      <w:r>
        <w:rPr>
          <w:rFonts w:eastAsia="Times New Roman"/>
        </w:rPr>
        <w:t xml:space="preserve">nia informatycznego w postaci </w:t>
      </w:r>
      <w:r w:rsidRPr="00CE0198">
        <w:rPr>
          <w:rFonts w:eastAsia="Times New Roman"/>
        </w:rPr>
        <w:t xml:space="preserve">systemów operacyjnych klienckich nie stanowiących kompletu z komputerem, zamawiający wymaga dostawy systemu operacyjnego wraz z bezterminową licencją </w:t>
      </w:r>
      <w:r w:rsidRPr="002668F5">
        <w:rPr>
          <w:rFonts w:eastAsia="Times New Roman"/>
        </w:rPr>
        <w:t xml:space="preserve">na użytkowanie z możliwością przenoszenia pomiędzy stacjami. </w:t>
      </w:r>
    </w:p>
    <w:p w:rsidR="001F070D" w:rsidRPr="002668F5" w:rsidRDefault="00EB11D5" w:rsidP="00FE3230">
      <w:pPr>
        <w:pStyle w:val="Nagwek2"/>
        <w:rPr>
          <w:rFonts w:eastAsia="Times New Roman"/>
        </w:rPr>
      </w:pPr>
      <w:r w:rsidRPr="002668F5">
        <w:rPr>
          <w:rFonts w:eastAsia="Times New Roman"/>
        </w:rPr>
        <w:t>System operacyjny w wersji 64-bitowej.</w:t>
      </w:r>
    </w:p>
    <w:p w:rsidR="00CC6DD9" w:rsidRPr="002668F5" w:rsidRDefault="005F176F" w:rsidP="005F176F">
      <w:pPr>
        <w:pStyle w:val="Nagwek2"/>
        <w:rPr>
          <w:rFonts w:eastAsia="Times New Roman"/>
        </w:rPr>
      </w:pPr>
      <w:r w:rsidRPr="002668F5">
        <w:rPr>
          <w:rFonts w:eastAsia="Times New Roman"/>
        </w:rPr>
        <w:t xml:space="preserve">Zaoferowany system operacyjny musi umożliwiać  poprawne działanie oprogramowania </w:t>
      </w:r>
      <w:r w:rsidR="00CC6DD9" w:rsidRPr="002668F5">
        <w:rPr>
          <w:rFonts w:eastAsia="Times New Roman"/>
        </w:rPr>
        <w:t xml:space="preserve">dostarczanego wraz z </w:t>
      </w:r>
      <w:r w:rsidR="00744CFF" w:rsidRPr="002668F5">
        <w:rPr>
          <w:rFonts w:eastAsia="Times New Roman"/>
        </w:rPr>
        <w:t xml:space="preserve">zamawianym urządzeniem </w:t>
      </w:r>
      <w:r w:rsidR="00CC6DD9" w:rsidRPr="002668F5">
        <w:rPr>
          <w:rFonts w:eastAsia="Times New Roman"/>
        </w:rPr>
        <w:t xml:space="preserve"> pomiarowym</w:t>
      </w:r>
    </w:p>
    <w:p w:rsidR="00EB11D5" w:rsidRDefault="00EB11D5" w:rsidP="005F176F">
      <w:pPr>
        <w:pStyle w:val="Nagwek2"/>
        <w:rPr>
          <w:rFonts w:eastAsia="Times New Roman"/>
        </w:rPr>
      </w:pPr>
      <w:r>
        <w:rPr>
          <w:rFonts w:eastAsia="Times New Roman"/>
        </w:rPr>
        <w:t>Wymagana jes</w:t>
      </w:r>
      <w:r w:rsidRPr="005F176F">
        <w:rPr>
          <w:rFonts w:eastAsia="Times New Roman"/>
        </w:rPr>
        <w:t xml:space="preserve">t </w:t>
      </w:r>
      <w:r>
        <w:rPr>
          <w:rFonts w:eastAsia="Times New Roman"/>
        </w:rPr>
        <w:t xml:space="preserve">wersja systemu operacyjnego, umożliwiająca zarządzanie </w:t>
      </w:r>
      <w:r w:rsidR="005F176F">
        <w:rPr>
          <w:rFonts w:eastAsia="Times New Roman"/>
        </w:rPr>
        <w:t>systemem operacyjnym</w:t>
      </w:r>
      <w:r>
        <w:rPr>
          <w:rFonts w:eastAsia="Times New Roman"/>
        </w:rPr>
        <w:t xml:space="preserve"> komputer</w:t>
      </w:r>
      <w:r w:rsidR="005F176F">
        <w:rPr>
          <w:rFonts w:eastAsia="Times New Roman"/>
        </w:rPr>
        <w:t>a</w:t>
      </w:r>
      <w:r>
        <w:rPr>
          <w:rFonts w:eastAsia="Times New Roman"/>
        </w:rPr>
        <w:t xml:space="preserve"> przez domeny Active Directory pracujące w oparciu o systemy Windows Server w wersjach 2008 R2, 2012 R2, 2016.</w:t>
      </w:r>
    </w:p>
    <w:p w:rsidR="00EB11D5" w:rsidRDefault="00EB11D5" w:rsidP="00FE3230">
      <w:pPr>
        <w:pStyle w:val="Nagwek2"/>
        <w:rPr>
          <w:rFonts w:eastAsia="Times New Roman"/>
        </w:rPr>
      </w:pPr>
      <w:r>
        <w:rPr>
          <w:rFonts w:eastAsia="Times New Roman"/>
        </w:rPr>
        <w:t>System operacyjny musi być nowy, nigdy wcześniej nieaktywowany i musi pochodzić z legalnego źródła sprzedaży.</w:t>
      </w:r>
    </w:p>
    <w:p w:rsidR="00EB11D5" w:rsidRDefault="00EB11D5" w:rsidP="00FE3230">
      <w:pPr>
        <w:pStyle w:val="Nagwek2"/>
        <w:rPr>
          <w:rFonts w:eastAsia="Times New Roman"/>
        </w:rPr>
      </w:pPr>
      <w:r>
        <w:rPr>
          <w:rFonts w:eastAsia="Times New Roman"/>
        </w:rPr>
        <w:t>Licencja na zaoferowany system operacyjny musi być w pełni zgodna z warunkami licencjonowania producenta oprogramowania.</w:t>
      </w:r>
    </w:p>
    <w:p w:rsidR="00FE3230" w:rsidRDefault="00EB11D5" w:rsidP="00FE3230">
      <w:pPr>
        <w:pStyle w:val="Nagwek2"/>
        <w:rPr>
          <w:rFonts w:eastAsia="Times New Roman"/>
        </w:rPr>
      </w:pPr>
      <w:bookmarkStart w:id="1" w:name="_Hlk494374929"/>
      <w:bookmarkEnd w:id="1"/>
      <w:r>
        <w:rPr>
          <w:rFonts w:eastAsia="Times New Roman"/>
        </w:rPr>
        <w:t>System operacyjny musi posiadać następujące funkcjonalności - wymagane funkcjonalności systemu operacyjnego muszą być dostępn</w:t>
      </w:r>
      <w:r w:rsidR="005F176F">
        <w:rPr>
          <w:rFonts w:eastAsia="Times New Roman"/>
        </w:rPr>
        <w:t>e</w:t>
      </w:r>
      <w:r>
        <w:rPr>
          <w:rFonts w:eastAsia="Times New Roman"/>
        </w:rPr>
        <w:t xml:space="preserve"> poprzez natywne dla niego mechanizmy, bez użycia dodatkowych aplikacji.</w:t>
      </w:r>
    </w:p>
    <w:p w:rsidR="00EB11D5" w:rsidRPr="00FE3230" w:rsidRDefault="00EB11D5" w:rsidP="00FE3230">
      <w:pPr>
        <w:pStyle w:val="Nagwek3"/>
        <w:rPr>
          <w:rFonts w:eastAsia="Times New Roman"/>
        </w:rPr>
      </w:pPr>
      <w:r w:rsidRPr="00FE3230">
        <w:rPr>
          <w:rFonts w:eastAsia="Times New Roman"/>
        </w:rPr>
        <w:t>System operacyjny w polskiej wersji językowej.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Graficzne środowisko instalacji i konfiguracji dostępne w języku polskim.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Wbudowany system pomocy w języku polskim.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Komunikaty systemowe dostępne w języku polskim.</w:t>
      </w:r>
    </w:p>
    <w:p w:rsidR="00744CFF" w:rsidRPr="00744CFF" w:rsidRDefault="00EB11D5" w:rsidP="00744CFF">
      <w:pPr>
        <w:pStyle w:val="Nagwek3"/>
        <w:rPr>
          <w:rFonts w:eastAsia="Times New Roman"/>
        </w:rPr>
      </w:pPr>
      <w:r>
        <w:rPr>
          <w:rFonts w:eastAsia="Times New Roman"/>
        </w:rPr>
        <w:t>Możliwość podłączenia systemu operacyjnego do domeny Active Directory pracującej w oparciu o system Windows Server w wersjach 2008 R2, 2012 R2, 2016.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Interfejs użytkownika dostępny w języku Polskim.</w:t>
      </w:r>
    </w:p>
    <w:p w:rsidR="00EB11D5" w:rsidRDefault="00EB11D5" w:rsidP="005F176F">
      <w:pPr>
        <w:pStyle w:val="Nagwek3"/>
        <w:rPr>
          <w:rFonts w:eastAsia="Times New Roman"/>
        </w:rPr>
      </w:pPr>
      <w:r>
        <w:rPr>
          <w:rFonts w:eastAsia="Times New Roman"/>
        </w:rPr>
        <w:t>Graficzny interfejs użytkownika umożliwiający obsługę systemu operacyjnego przy pomocy klawiatury i myszy oraz za pomocą dotyku na urządzeniach typu tablet lub monitorach dotykowych.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lastRenderedPageBreak/>
        <w:t>Możliwość dokonywania bezpłatnych aktualizacji i poprawek w ramach wersji systemu operacyjnego poprzez Internet - mechanizm aktualizacji udostępniany przez producenta systemu.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Wbudowana zapora internetowa (firewall) dla ochrony połączeń internetowych.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Zintegrowana z systemem konsola do zarządzania ustawieniami zapory i regułami IP v4 i v6.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Wbudowane mechanizmy ochrony antywirusowej i przeciw złośliwemu oprogramowaniu z zapewnionymi bezpłatnymi aktualizacjami.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Zabezpieczony hasłem hierarchiczny dostęp do systemu, konta i profile użytkowników zarządzane zdalnie. Praca systemu w trybie ochrony kont użytkowników.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Wsparcie dla większości powszechnie używanych urządzeń peryferyjnych (drukarek, urządzeń sieciowych, standardów USB, </w:t>
      </w:r>
      <w:proofErr w:type="spellStart"/>
      <w:r>
        <w:rPr>
          <w:rFonts w:eastAsia="Times New Roman"/>
        </w:rPr>
        <w:t>Plug&amp;Play</w:t>
      </w:r>
      <w:proofErr w:type="spellEnd"/>
      <w:r>
        <w:rPr>
          <w:rFonts w:eastAsia="Times New Roman"/>
        </w:rPr>
        <w:t>, Wi-Fi).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Zintegrowany z systemem moduł wyszukiwania informacji (plików różnego typu, tekstów, metadanych) dostępny z kilku poziomów: poziom menu, poziom otwartego okna systemu operacyjnego. System wyszukiwania oparty na konfigurowalnym przez użytkownika module indeksacji zasobów lokalnych.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Możliwość zarządzania stacją roboczą poprzez polityki grupowe. Przez politykę Zamawiający rozumie zestaw reguł definiujących lub ograniczających funkcjonalność systemu lub aplikacji.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Możliwość przystosowania stanowiska dla osób </w:t>
      </w:r>
      <w:r w:rsidR="005F176F">
        <w:rPr>
          <w:rFonts w:eastAsia="Times New Roman"/>
        </w:rPr>
        <w:t xml:space="preserve">z </w:t>
      </w:r>
      <w:r>
        <w:rPr>
          <w:rFonts w:eastAsia="Times New Roman"/>
        </w:rPr>
        <w:t>niepełnospra</w:t>
      </w:r>
      <w:r w:rsidR="005F176F">
        <w:rPr>
          <w:rFonts w:eastAsia="Times New Roman"/>
        </w:rPr>
        <w:t>wnościami</w:t>
      </w:r>
      <w:r>
        <w:rPr>
          <w:rFonts w:eastAsia="Times New Roman"/>
        </w:rPr>
        <w:t xml:space="preserve"> (np. słabo widzących).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Możliwość zdalnej automatycznej instalacji, konfiguracji, administrowania oraz aktualizowania systemu, zgodnie z określonymi uprawnieniami poprzez polityki grupowe.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Możliwość logowania do systemu operacyjnego w oparciu o login i hasło, karty z certyfikatami (</w:t>
      </w:r>
      <w:proofErr w:type="spellStart"/>
      <w:r>
        <w:rPr>
          <w:rFonts w:eastAsia="Times New Roman"/>
        </w:rPr>
        <w:t>smartcard</w:t>
      </w:r>
      <w:proofErr w:type="spellEnd"/>
      <w:r>
        <w:rPr>
          <w:rFonts w:eastAsia="Times New Roman"/>
        </w:rPr>
        <w:t>), wirtualne karty (logowanie w oparciu o certyfikat chroniony poprzez moduł TPM).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Wsparcie do uwierzytelnienia urządzenia na bazie certyfikatu. 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Wbudowane narzędzia służące do administracji, do wykonywania kopii zapasowych polityk i ich odtwarzania oraz generowania raportów z ustawień polityk.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Wsparcie dla środowisk Java i .NET Framework 4.x. - możliwość uruchomienia aplikacji działających we wskazanych środowiskach.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Wsparcie dla JScript i </w:t>
      </w:r>
      <w:proofErr w:type="spellStart"/>
      <w:r>
        <w:rPr>
          <w:rFonts w:eastAsia="Times New Roman"/>
        </w:rPr>
        <w:t>VBScript</w:t>
      </w:r>
      <w:proofErr w:type="spellEnd"/>
      <w:r>
        <w:rPr>
          <w:rFonts w:eastAsia="Times New Roman"/>
        </w:rPr>
        <w:t xml:space="preserve"> – możliwość uruchamiania interpretera poleceń.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Zdalna pomoc i współdzielenie aplikacji – możliwość zdalnego przejęcia sesji zalogowanego użytkownika celem rozwiązania problemu z komputerem.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Transakcyjny system plików pozwalający na stosowanie przydziałów (ang. </w:t>
      </w:r>
      <w:proofErr w:type="spellStart"/>
      <w:r>
        <w:rPr>
          <w:rFonts w:eastAsia="Times New Roman"/>
        </w:rPr>
        <w:t>quota</w:t>
      </w:r>
      <w:proofErr w:type="spellEnd"/>
      <w:r>
        <w:rPr>
          <w:rFonts w:eastAsia="Times New Roman"/>
        </w:rPr>
        <w:t>) na dysku dla użytkowników oraz zapewniający większą niezawodność i pozwalający tworzyć kopie zapasowe.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lastRenderedPageBreak/>
        <w:t>Zarządzanie kontami użytkowników sieci oraz urządzeniami sieciowymi tj. drukark</w:t>
      </w:r>
      <w:r w:rsidR="005F176F">
        <w:rPr>
          <w:rFonts w:eastAsia="Times New Roman"/>
        </w:rPr>
        <w:t>ami</w:t>
      </w:r>
      <w:r>
        <w:rPr>
          <w:rFonts w:eastAsia="Times New Roman"/>
        </w:rPr>
        <w:t>, modem</w:t>
      </w:r>
      <w:r w:rsidR="005F176F">
        <w:rPr>
          <w:rFonts w:eastAsia="Times New Roman"/>
        </w:rPr>
        <w:t>ami</w:t>
      </w:r>
      <w:r>
        <w:rPr>
          <w:rFonts w:eastAsia="Times New Roman"/>
        </w:rPr>
        <w:t>, wolumin</w:t>
      </w:r>
      <w:r w:rsidR="005F176F">
        <w:rPr>
          <w:rFonts w:eastAsia="Times New Roman"/>
        </w:rPr>
        <w:t>ami</w:t>
      </w:r>
      <w:r>
        <w:rPr>
          <w:rFonts w:eastAsia="Times New Roman"/>
        </w:rPr>
        <w:t xml:space="preserve"> dyskow</w:t>
      </w:r>
      <w:r w:rsidR="005F176F">
        <w:rPr>
          <w:rFonts w:eastAsia="Times New Roman"/>
        </w:rPr>
        <w:t>ymi</w:t>
      </w:r>
      <w:r>
        <w:rPr>
          <w:rFonts w:eastAsia="Times New Roman"/>
        </w:rPr>
        <w:t>, usług</w:t>
      </w:r>
      <w:r w:rsidR="005F176F">
        <w:rPr>
          <w:rFonts w:eastAsia="Times New Roman"/>
        </w:rPr>
        <w:t>ami</w:t>
      </w:r>
      <w:r>
        <w:rPr>
          <w:rFonts w:eastAsia="Times New Roman"/>
        </w:rPr>
        <w:t xml:space="preserve"> katalogow</w:t>
      </w:r>
      <w:r w:rsidR="005F176F">
        <w:rPr>
          <w:rFonts w:eastAsia="Times New Roman"/>
        </w:rPr>
        <w:t>ymi</w:t>
      </w:r>
      <w:r>
        <w:rPr>
          <w:rFonts w:eastAsia="Times New Roman"/>
        </w:rPr>
        <w:t>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Oprogramowanie dla tworzenia kopii zapasowych (Backup) - automatyczne wykonywanie kopii plików z możliwością automatycznego przywrócenia wersji wcześniejszej.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Możliwość przywracania obrazu plików systemowych do uprzednio zapisanej postaci.</w:t>
      </w:r>
    </w:p>
    <w:p w:rsidR="00EB11D5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:rsidR="00EB11D5" w:rsidRPr="00024BE9" w:rsidRDefault="00EB11D5" w:rsidP="00FE3230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Możliwość blokowania lub </w:t>
      </w:r>
      <w:r w:rsidRPr="00024BE9">
        <w:rPr>
          <w:rFonts w:eastAsia="Times New Roman"/>
        </w:rPr>
        <w:t>dopuszczania dowolnych urządzeń peryferyjnych za pomocą polityk grupowych (np. przy użyciu numerów identyfikacyjnych sprzętu).</w:t>
      </w:r>
    </w:p>
    <w:p w:rsidR="00744CFF" w:rsidRPr="00024BE9" w:rsidRDefault="00EB11D5" w:rsidP="00FE3230">
      <w:pPr>
        <w:pStyle w:val="Nagwek3"/>
      </w:pPr>
      <w:r w:rsidRPr="00024BE9">
        <w:rPr>
          <w:rFonts w:eastAsia="Times New Roman"/>
        </w:rPr>
        <w:t xml:space="preserve">Wbudowany mechanizm wirtualizacji typu </w:t>
      </w:r>
      <w:r w:rsidR="00CC6DD9" w:rsidRPr="00024BE9">
        <w:rPr>
          <w:rFonts w:eastAsia="Times New Roman"/>
        </w:rPr>
        <w:t>Hyper-V</w:t>
      </w:r>
      <w:r w:rsidR="00024BE9" w:rsidRPr="00024BE9">
        <w:rPr>
          <w:rFonts w:eastAsia="Times New Roman"/>
        </w:rPr>
        <w:t xml:space="preserve"> lub równoważny</w:t>
      </w:r>
      <w:r w:rsidRPr="00024BE9">
        <w:rPr>
          <w:rFonts w:eastAsia="Times New Roman"/>
        </w:rPr>
        <w:t xml:space="preserve">, umożliwiający, uruchomienie wirtualnych maszyn. </w:t>
      </w:r>
    </w:p>
    <w:p w:rsidR="00E5350F" w:rsidRPr="00E5350F" w:rsidRDefault="00744CFF" w:rsidP="00FE3230">
      <w:pPr>
        <w:pStyle w:val="Nagwek3"/>
      </w:pPr>
      <w:r w:rsidRPr="00024BE9">
        <w:rPr>
          <w:rFonts w:eastAsia="Times New Roman"/>
        </w:rPr>
        <w:t xml:space="preserve">Współpraca z pakietem </w:t>
      </w:r>
      <w:proofErr w:type="spellStart"/>
      <w:r w:rsidRPr="00024BE9">
        <w:rPr>
          <w:rFonts w:eastAsia="Times New Roman"/>
        </w:rPr>
        <w:t>Microsft</w:t>
      </w:r>
      <w:proofErr w:type="spellEnd"/>
      <w:r w:rsidRPr="00024BE9">
        <w:rPr>
          <w:rFonts w:eastAsia="Times New Roman"/>
        </w:rPr>
        <w:t xml:space="preserve"> Office w wersji 2013, 2016 w wersji dla Windows</w:t>
      </w:r>
      <w:r w:rsidR="00EB11D5">
        <w:rPr>
          <w:rFonts w:eastAsia="Times New Roman"/>
        </w:rPr>
        <w:br/>
      </w:r>
    </w:p>
    <w:sectPr w:rsidR="00E5350F" w:rsidRPr="00E535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EB" w:rsidRDefault="00802AEB" w:rsidP="009551A1">
      <w:pPr>
        <w:spacing w:after="0" w:line="240" w:lineRule="auto"/>
      </w:pPr>
      <w:r>
        <w:separator/>
      </w:r>
    </w:p>
  </w:endnote>
  <w:endnote w:type="continuationSeparator" w:id="0">
    <w:p w:rsidR="00802AEB" w:rsidRDefault="00802AEB" w:rsidP="009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9D" w:rsidRPr="00CC1A5B" w:rsidRDefault="00B86C9D" w:rsidP="00B86C9D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E2129" wp14:editId="71AB10D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0CB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Pr="00CC1A5B">
      <w:rPr>
        <w:rFonts w:asciiTheme="majorHAnsi" w:hAnsiTheme="majorHAnsi" w:cstheme="majorHAnsi"/>
        <w:sz w:val="16"/>
        <w:szCs w:val="16"/>
      </w:rPr>
      <w:t>Projekt realizowany przy dofinansowaniu NCBR, w ramach Programu Operacyjnego „Inteligentny Rozwój 2014-2020”,</w:t>
    </w:r>
    <w:r>
      <w:rPr>
        <w:rFonts w:asciiTheme="majorHAnsi" w:hAnsiTheme="majorHAnsi" w:cstheme="majorHAnsi"/>
        <w:sz w:val="16"/>
        <w:szCs w:val="16"/>
      </w:rPr>
      <w:t xml:space="preserve"> </w:t>
    </w:r>
    <w:r w:rsidRPr="00CC1A5B">
      <w:rPr>
        <w:rFonts w:asciiTheme="majorHAnsi" w:hAnsiTheme="majorHAnsi" w:cstheme="majorHAnsi"/>
        <w:sz w:val="16"/>
        <w:szCs w:val="16"/>
      </w:rPr>
      <w:t>osi priorytetowej „Zwiększenie potencjału naukowo-badawczego”, działania „Badania naukowe i prace rozwojowe”,</w:t>
    </w:r>
    <w:r>
      <w:rPr>
        <w:rFonts w:asciiTheme="majorHAnsi" w:hAnsiTheme="majorHAnsi" w:cstheme="majorHAnsi"/>
        <w:sz w:val="16"/>
        <w:szCs w:val="16"/>
      </w:rPr>
      <w:t xml:space="preserve"> </w:t>
    </w:r>
    <w:r w:rsidRPr="00CC1A5B">
      <w:rPr>
        <w:rFonts w:asciiTheme="majorHAnsi" w:hAnsiTheme="majorHAnsi" w:cstheme="majorHAnsi"/>
        <w:sz w:val="16"/>
        <w:szCs w:val="16"/>
      </w:rPr>
      <w:t>poddziałania 4.1.</w:t>
    </w:r>
    <w:r>
      <w:rPr>
        <w:rFonts w:asciiTheme="majorHAnsi" w:hAnsiTheme="majorHAnsi" w:cstheme="majorHAnsi"/>
        <w:sz w:val="16"/>
        <w:szCs w:val="16"/>
      </w:rPr>
      <w:t>4</w:t>
    </w:r>
    <w:r w:rsidRPr="00CC1A5B">
      <w:rPr>
        <w:rFonts w:asciiTheme="majorHAnsi" w:hAnsiTheme="majorHAnsi" w:cstheme="majorHAnsi"/>
        <w:sz w:val="16"/>
        <w:szCs w:val="16"/>
      </w:rPr>
      <w:t xml:space="preserve"> „</w:t>
    </w:r>
    <w:r>
      <w:rPr>
        <w:rFonts w:asciiTheme="majorHAnsi" w:hAnsiTheme="majorHAnsi" w:cstheme="majorHAnsi"/>
        <w:sz w:val="16"/>
        <w:szCs w:val="16"/>
      </w:rPr>
      <w:t>Projekty aplikacyjne</w:t>
    </w:r>
    <w:r w:rsidRPr="00CC1A5B">
      <w:rPr>
        <w:rFonts w:asciiTheme="majorHAnsi" w:hAnsiTheme="majorHAnsi" w:cstheme="majorHAnsi"/>
        <w:sz w:val="16"/>
        <w:szCs w:val="16"/>
      </w:rPr>
      <w:t>”</w:t>
    </w:r>
    <w:r>
      <w:rPr>
        <w:rFonts w:asciiTheme="majorHAnsi" w:hAnsiTheme="majorHAnsi" w:cstheme="majorHAnsi"/>
        <w:sz w:val="16"/>
        <w:szCs w:val="16"/>
      </w:rPr>
      <w:t xml:space="preserve">. </w:t>
    </w:r>
    <w:r w:rsidRPr="00CC1A5B">
      <w:rPr>
        <w:rFonts w:asciiTheme="majorHAnsi" w:hAnsiTheme="majorHAnsi" w:cstheme="majorHAnsi"/>
        <w:sz w:val="16"/>
        <w:szCs w:val="16"/>
      </w:rPr>
      <w:t xml:space="preserve">Numer umowy: </w:t>
    </w:r>
    <w:r w:rsidRPr="00CC1A5B">
      <w:rPr>
        <w:rFonts w:asciiTheme="majorHAnsi" w:hAnsiTheme="majorHAnsi" w:cstheme="majorHAnsi"/>
        <w:b/>
        <w:sz w:val="16"/>
        <w:szCs w:val="16"/>
      </w:rPr>
      <w:t>POIR.04.01.0</w:t>
    </w:r>
    <w:r>
      <w:rPr>
        <w:rFonts w:asciiTheme="majorHAnsi" w:hAnsiTheme="majorHAnsi" w:cstheme="majorHAnsi"/>
        <w:b/>
        <w:sz w:val="16"/>
        <w:szCs w:val="16"/>
      </w:rPr>
      <w:t>4</w:t>
    </w:r>
    <w:r w:rsidRPr="00CC1A5B">
      <w:rPr>
        <w:rFonts w:asciiTheme="majorHAnsi" w:hAnsiTheme="majorHAnsi" w:cstheme="majorHAnsi"/>
        <w:b/>
        <w:sz w:val="16"/>
        <w:szCs w:val="16"/>
      </w:rPr>
      <w:t>-00-00</w:t>
    </w:r>
    <w:r>
      <w:rPr>
        <w:rFonts w:asciiTheme="majorHAnsi" w:hAnsiTheme="majorHAnsi" w:cstheme="majorHAnsi"/>
        <w:b/>
        <w:sz w:val="16"/>
        <w:szCs w:val="16"/>
      </w:rPr>
      <w:t>33/18</w:t>
    </w:r>
    <w:r w:rsidRPr="00CC1A5B">
      <w:rPr>
        <w:rFonts w:asciiTheme="majorHAnsi" w:hAnsiTheme="majorHAnsi" w:cstheme="majorHAnsi"/>
        <w:b/>
        <w:sz w:val="16"/>
        <w:szCs w:val="16"/>
      </w:rPr>
      <w:t>-00</w:t>
    </w:r>
  </w:p>
  <w:p w:rsidR="00B86C9D" w:rsidRPr="00CC1A5B" w:rsidRDefault="00B86C9D" w:rsidP="00B86C9D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CC1A5B">
      <w:rPr>
        <w:rFonts w:asciiTheme="majorHAnsi" w:hAnsiTheme="majorHAnsi" w:cstheme="majorHAnsi"/>
        <w:sz w:val="16"/>
        <w:szCs w:val="16"/>
      </w:rPr>
      <w:t xml:space="preserve">Tytuł projektu: </w:t>
    </w:r>
    <w:r w:rsidRPr="002B7A6E">
      <w:rPr>
        <w:rFonts w:asciiTheme="majorHAnsi" w:hAnsiTheme="majorHAnsi" w:cstheme="majorHAnsi"/>
        <w:b/>
        <w:i/>
        <w:sz w:val="16"/>
        <w:szCs w:val="16"/>
      </w:rPr>
      <w:t>„Wykorzystanie modułowych systemów podawania i mieszania materiałów proszkowych na przykładzie linii do wytwarzania katod w bateriach termicznych wraz z systemem eksperckim doboru materiałów i parametrów pracy”</w:t>
    </w:r>
  </w:p>
  <w:p w:rsidR="00B86C9D" w:rsidRDefault="00B86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EB" w:rsidRDefault="00802AEB" w:rsidP="009551A1">
      <w:pPr>
        <w:spacing w:after="0" w:line="240" w:lineRule="auto"/>
      </w:pPr>
      <w:r>
        <w:separator/>
      </w:r>
    </w:p>
  </w:footnote>
  <w:footnote w:type="continuationSeparator" w:id="0">
    <w:p w:rsidR="00802AEB" w:rsidRDefault="00802AEB" w:rsidP="0095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9D" w:rsidRDefault="00B86C9D">
    <w:pPr>
      <w:pStyle w:val="Nagwek"/>
    </w:pPr>
    <w:r w:rsidRPr="00B86C9D">
      <w:drawing>
        <wp:anchor distT="0" distB="0" distL="114300" distR="114300" simplePos="0" relativeHeight="251664384" behindDoc="0" locked="0" layoutInCell="1" allowOverlap="1" wp14:anchorId="2F435B2E" wp14:editId="460DCB4D">
          <wp:simplePos x="0" y="0"/>
          <wp:positionH relativeFrom="column">
            <wp:posOffset>4520565</wp:posOffset>
          </wp:positionH>
          <wp:positionV relativeFrom="paragraph">
            <wp:posOffset>-314960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6C9D">
      <w:drawing>
        <wp:anchor distT="0" distB="0" distL="114300" distR="114300" simplePos="0" relativeHeight="251663360" behindDoc="1" locked="0" layoutInCell="1" allowOverlap="1" wp14:anchorId="3682C45D" wp14:editId="51B3F023">
          <wp:simplePos x="0" y="0"/>
          <wp:positionH relativeFrom="column">
            <wp:posOffset>3098165</wp:posOffset>
          </wp:positionH>
          <wp:positionV relativeFrom="paragraph">
            <wp:posOffset>-153035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6C9D">
      <w:drawing>
        <wp:anchor distT="0" distB="0" distL="114300" distR="114300" simplePos="0" relativeHeight="251662336" behindDoc="0" locked="0" layoutInCell="1" allowOverlap="1" wp14:anchorId="5E27D73A" wp14:editId="3978A589">
          <wp:simplePos x="0" y="0"/>
          <wp:positionH relativeFrom="column">
            <wp:posOffset>916305</wp:posOffset>
          </wp:positionH>
          <wp:positionV relativeFrom="paragraph">
            <wp:posOffset>-286385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6C9D">
      <w:drawing>
        <wp:anchor distT="0" distB="0" distL="114300" distR="114300" simplePos="0" relativeHeight="251661312" behindDoc="0" locked="0" layoutInCell="1" allowOverlap="1" wp14:anchorId="4BAEA0F7" wp14:editId="0561FFD2">
          <wp:simplePos x="0" y="0"/>
          <wp:positionH relativeFrom="column">
            <wp:posOffset>-409575</wp:posOffset>
          </wp:positionH>
          <wp:positionV relativeFrom="paragraph">
            <wp:posOffset>-303530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1A985E"/>
    <w:multiLevelType w:val="hybridMultilevel"/>
    <w:tmpl w:val="F5A88D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A820EE"/>
    <w:multiLevelType w:val="singleLevel"/>
    <w:tmpl w:val="B95C7A28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0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24BE9"/>
    <w:rsid w:val="00037626"/>
    <w:rsid w:val="00082645"/>
    <w:rsid w:val="00082658"/>
    <w:rsid w:val="00092208"/>
    <w:rsid w:val="00092A0C"/>
    <w:rsid w:val="000B0010"/>
    <w:rsid w:val="000B0842"/>
    <w:rsid w:val="00121BB9"/>
    <w:rsid w:val="001663CC"/>
    <w:rsid w:val="00191738"/>
    <w:rsid w:val="001A3EDB"/>
    <w:rsid w:val="001B5BA9"/>
    <w:rsid w:val="001F070D"/>
    <w:rsid w:val="002231FE"/>
    <w:rsid w:val="00246ECB"/>
    <w:rsid w:val="00260EB8"/>
    <w:rsid w:val="002668F5"/>
    <w:rsid w:val="002A1CAE"/>
    <w:rsid w:val="002B2503"/>
    <w:rsid w:val="002E74CC"/>
    <w:rsid w:val="002F02C1"/>
    <w:rsid w:val="002F65CF"/>
    <w:rsid w:val="00324BAA"/>
    <w:rsid w:val="003A007B"/>
    <w:rsid w:val="003A6036"/>
    <w:rsid w:val="003D2C48"/>
    <w:rsid w:val="003D45F2"/>
    <w:rsid w:val="003D5C00"/>
    <w:rsid w:val="004118B9"/>
    <w:rsid w:val="0043632C"/>
    <w:rsid w:val="004A4152"/>
    <w:rsid w:val="004B7A7D"/>
    <w:rsid w:val="004E4421"/>
    <w:rsid w:val="004F3F0C"/>
    <w:rsid w:val="00571E49"/>
    <w:rsid w:val="0057680C"/>
    <w:rsid w:val="00584386"/>
    <w:rsid w:val="005920FA"/>
    <w:rsid w:val="005C2BD5"/>
    <w:rsid w:val="005E0C0C"/>
    <w:rsid w:val="005E2861"/>
    <w:rsid w:val="005F176F"/>
    <w:rsid w:val="005F458C"/>
    <w:rsid w:val="00631AA7"/>
    <w:rsid w:val="006422D1"/>
    <w:rsid w:val="00643C0A"/>
    <w:rsid w:val="006A7FDC"/>
    <w:rsid w:val="006E37C8"/>
    <w:rsid w:val="006F1477"/>
    <w:rsid w:val="006F202E"/>
    <w:rsid w:val="006F4EC6"/>
    <w:rsid w:val="0071417F"/>
    <w:rsid w:val="00742FC1"/>
    <w:rsid w:val="00744CFF"/>
    <w:rsid w:val="0074588F"/>
    <w:rsid w:val="00766A58"/>
    <w:rsid w:val="007A4138"/>
    <w:rsid w:val="007E3384"/>
    <w:rsid w:val="007E3DE7"/>
    <w:rsid w:val="007F0CD6"/>
    <w:rsid w:val="00802AEB"/>
    <w:rsid w:val="00827019"/>
    <w:rsid w:val="00833111"/>
    <w:rsid w:val="008946AB"/>
    <w:rsid w:val="008C318A"/>
    <w:rsid w:val="00944B4F"/>
    <w:rsid w:val="009520EE"/>
    <w:rsid w:val="009551A1"/>
    <w:rsid w:val="009600DA"/>
    <w:rsid w:val="0096097F"/>
    <w:rsid w:val="009634EA"/>
    <w:rsid w:val="009705A0"/>
    <w:rsid w:val="00981F1C"/>
    <w:rsid w:val="00995614"/>
    <w:rsid w:val="009D71EC"/>
    <w:rsid w:val="009F2D6B"/>
    <w:rsid w:val="00A140BC"/>
    <w:rsid w:val="00A25626"/>
    <w:rsid w:val="00A802BB"/>
    <w:rsid w:val="00A80455"/>
    <w:rsid w:val="00AF56A6"/>
    <w:rsid w:val="00B04305"/>
    <w:rsid w:val="00B202DE"/>
    <w:rsid w:val="00B75F33"/>
    <w:rsid w:val="00B86810"/>
    <w:rsid w:val="00B86C9D"/>
    <w:rsid w:val="00B86DBD"/>
    <w:rsid w:val="00BA06AC"/>
    <w:rsid w:val="00BA3D20"/>
    <w:rsid w:val="00BB45DE"/>
    <w:rsid w:val="00BB58C6"/>
    <w:rsid w:val="00BB7CDB"/>
    <w:rsid w:val="00C05733"/>
    <w:rsid w:val="00CC6DD9"/>
    <w:rsid w:val="00CD3D98"/>
    <w:rsid w:val="00CE0198"/>
    <w:rsid w:val="00CE20F4"/>
    <w:rsid w:val="00CE51ED"/>
    <w:rsid w:val="00D156A4"/>
    <w:rsid w:val="00D16EB3"/>
    <w:rsid w:val="00D42257"/>
    <w:rsid w:val="00DA41D5"/>
    <w:rsid w:val="00DC4462"/>
    <w:rsid w:val="00DF4165"/>
    <w:rsid w:val="00E21B6D"/>
    <w:rsid w:val="00E2695A"/>
    <w:rsid w:val="00E273E7"/>
    <w:rsid w:val="00E30F89"/>
    <w:rsid w:val="00E5350F"/>
    <w:rsid w:val="00E61318"/>
    <w:rsid w:val="00E61D2E"/>
    <w:rsid w:val="00E65943"/>
    <w:rsid w:val="00E7332E"/>
    <w:rsid w:val="00EA2DB1"/>
    <w:rsid w:val="00EB11D5"/>
    <w:rsid w:val="00EF2385"/>
    <w:rsid w:val="00F556DD"/>
    <w:rsid w:val="00F5748C"/>
    <w:rsid w:val="00F634A6"/>
    <w:rsid w:val="00F66A7C"/>
    <w:rsid w:val="00F85540"/>
    <w:rsid w:val="00F9075C"/>
    <w:rsid w:val="00FA3B0A"/>
    <w:rsid w:val="00FA6E7E"/>
    <w:rsid w:val="00FE3230"/>
    <w:rsid w:val="00FE4AD5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C893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customStyle="1" w:styleId="apple-style-span">
    <w:name w:val="apple-style-span"/>
    <w:basedOn w:val="Domylnaczcionkaakapitu"/>
    <w:rsid w:val="009551A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1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1A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B5BA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4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D1"/>
  </w:style>
  <w:style w:type="paragraph" w:styleId="Stopka">
    <w:name w:val="footer"/>
    <w:basedOn w:val="Normalny"/>
    <w:link w:val="StopkaZnak"/>
    <w:uiPriority w:val="99"/>
    <w:unhideWhenUsed/>
    <w:rsid w:val="0064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Gumny Maciej</cp:lastModifiedBy>
  <cp:revision>3</cp:revision>
  <dcterms:created xsi:type="dcterms:W3CDTF">2019-07-09T12:15:00Z</dcterms:created>
  <dcterms:modified xsi:type="dcterms:W3CDTF">2019-07-17T08:53:00Z</dcterms:modified>
</cp:coreProperties>
</file>