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77290" w14:textId="77777777" w:rsidR="006E7787" w:rsidRPr="00EA33CE" w:rsidRDefault="00DC7DF3" w:rsidP="00EA33CE">
      <w:pPr>
        <w:rPr>
          <w:rFonts w:asciiTheme="minorHAnsi" w:hAnsiTheme="minorHAnsi" w:cstheme="minorHAnsi"/>
          <w:sz w:val="24"/>
          <w:szCs w:val="24"/>
        </w:rPr>
      </w:pPr>
    </w:p>
    <w:p w14:paraId="1F02C353" w14:textId="77777777" w:rsidR="00EA33CE" w:rsidRPr="00EA33CE" w:rsidRDefault="00EA33CE" w:rsidP="00EA33CE">
      <w:pPr>
        <w:pStyle w:val="Akapitzlist"/>
        <w:spacing w:after="0" w:line="240" w:lineRule="auto"/>
        <w:jc w:val="both"/>
        <w:rPr>
          <w:rFonts w:eastAsia="Times New Roman" w:cstheme="minorHAnsi"/>
          <w:bCs/>
          <w:kern w:val="36"/>
          <w:sz w:val="24"/>
          <w:szCs w:val="24"/>
          <w:lang w:eastAsia="pl-PL"/>
        </w:rPr>
      </w:pPr>
    </w:p>
    <w:p w14:paraId="480C05CB" w14:textId="77777777" w:rsidR="00EA33CE" w:rsidRPr="00EA33CE" w:rsidRDefault="00EA33CE" w:rsidP="00EA33CE">
      <w:pPr>
        <w:contextualSpacing/>
        <w:rPr>
          <w:rFonts w:asciiTheme="minorHAnsi" w:eastAsia="Times New Roman" w:hAnsiTheme="minorHAnsi" w:cs="Times New Roman"/>
          <w:sz w:val="24"/>
          <w:szCs w:val="24"/>
          <w:lang w:eastAsia="pl-PL"/>
        </w:rPr>
      </w:pPr>
    </w:p>
    <w:p w14:paraId="104710E5" w14:textId="77777777" w:rsidR="00EA33CE" w:rsidRPr="00EA33CE" w:rsidRDefault="00EA33CE" w:rsidP="00EA33CE">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Nr referencyjny nadany sprawie </w:t>
      </w:r>
    </w:p>
    <w:p w14:paraId="115FD3FF" w14:textId="77777777" w:rsidR="00EA33CE" w:rsidRPr="00EA33CE" w:rsidRDefault="00EA33CE" w:rsidP="00EA33CE">
      <w:pPr>
        <w:contextualSpacing/>
        <w:jc w:val="center"/>
        <w:rPr>
          <w:rFonts w:asciiTheme="minorHAnsi" w:eastAsia="Times New Roman" w:hAnsiTheme="minorHAnsi" w:cs="Times New Roman"/>
          <w:color w:val="000000" w:themeColor="text1"/>
          <w:lang w:eastAsia="pl-PL"/>
        </w:rPr>
      </w:pPr>
    </w:p>
    <w:p w14:paraId="245496F5" w14:textId="77777777" w:rsidR="00EA33CE" w:rsidRPr="00EA33CE" w:rsidRDefault="00EA33CE" w:rsidP="00EA33CE">
      <w:pPr>
        <w:contextualSpacing/>
        <w:jc w:val="center"/>
        <w:rPr>
          <w:rFonts w:asciiTheme="minorHAnsi" w:eastAsia="Times New Roman" w:hAnsiTheme="minorHAnsi" w:cs="Times New Roman"/>
          <w:color w:val="000000" w:themeColor="text1"/>
          <w:lang w:eastAsia="pl-PL"/>
        </w:rPr>
      </w:pPr>
    </w:p>
    <w:p w14:paraId="5C300D1E" w14:textId="191C6226" w:rsidR="00EA33CE" w:rsidRPr="00EA33CE" w:rsidRDefault="00D82550" w:rsidP="00EA33CE">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1/PN/2020</w:t>
      </w:r>
    </w:p>
    <w:p w14:paraId="3A74291E" w14:textId="77777777" w:rsidR="00EA33CE" w:rsidRPr="00EA33CE" w:rsidRDefault="00EA33CE" w:rsidP="00EA33CE">
      <w:pPr>
        <w:contextualSpacing/>
        <w:rPr>
          <w:rFonts w:asciiTheme="minorHAnsi" w:eastAsia="Times New Roman" w:hAnsiTheme="minorHAnsi" w:cstheme="minorHAnsi"/>
          <w:b/>
          <w:color w:val="000000" w:themeColor="text1"/>
          <w:sz w:val="24"/>
          <w:szCs w:val="24"/>
          <w:lang w:eastAsia="pl-PL"/>
        </w:rPr>
      </w:pPr>
    </w:p>
    <w:p w14:paraId="155A28FC" w14:textId="77777777" w:rsidR="00EA33CE" w:rsidRPr="00EA33CE" w:rsidRDefault="00EA33CE" w:rsidP="00EA33CE">
      <w:pPr>
        <w:contextualSpacing/>
        <w:rPr>
          <w:rFonts w:asciiTheme="minorHAnsi" w:eastAsia="Times New Roman" w:hAnsiTheme="minorHAnsi" w:cs="Times New Roman"/>
          <w:sz w:val="24"/>
          <w:szCs w:val="24"/>
          <w:lang w:eastAsia="pl-PL"/>
        </w:rPr>
      </w:pPr>
    </w:p>
    <w:p w14:paraId="3EE31128" w14:textId="77777777" w:rsidR="00EA33CE" w:rsidRPr="00EA33CE" w:rsidRDefault="00EA33CE" w:rsidP="00EA33CE">
      <w:pPr>
        <w:contextualSpacing/>
        <w:jc w:val="center"/>
        <w:rPr>
          <w:rFonts w:asciiTheme="minorHAnsi" w:eastAsia="Times New Roman" w:hAnsiTheme="minorHAnsi" w:cs="Times New Roman"/>
          <w:b/>
          <w:bCs/>
          <w:sz w:val="24"/>
          <w:szCs w:val="24"/>
          <w:lang w:eastAsia="pl-PL"/>
        </w:rPr>
      </w:pPr>
      <w:r w:rsidRPr="00EA33CE">
        <w:rPr>
          <w:rFonts w:asciiTheme="minorHAnsi" w:eastAsia="Times New Roman" w:hAnsiTheme="minorHAnsi" w:cs="Times New Roman"/>
          <w:b/>
          <w:bCs/>
          <w:sz w:val="24"/>
          <w:szCs w:val="24"/>
          <w:lang w:eastAsia="pl-PL"/>
        </w:rPr>
        <w:t xml:space="preserve">SPECYFIKACJA ISTOTNYCH WARUNKÓW ZAMÓWIENIA </w:t>
      </w:r>
    </w:p>
    <w:p w14:paraId="2815FB8E" w14:textId="77777777" w:rsidR="00EA33CE" w:rsidRPr="00EA33CE" w:rsidRDefault="00EA33CE" w:rsidP="00EA33CE">
      <w:pPr>
        <w:tabs>
          <w:tab w:val="left" w:pos="8318"/>
        </w:tabs>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b/>
          <w:bCs/>
          <w:sz w:val="24"/>
          <w:szCs w:val="24"/>
          <w:lang w:eastAsia="pl-PL"/>
        </w:rPr>
        <w:t>SIWZ</w:t>
      </w:r>
    </w:p>
    <w:p w14:paraId="6E60501F" w14:textId="77777777" w:rsidR="00EA33CE" w:rsidRPr="00EA33CE" w:rsidRDefault="00EA33CE" w:rsidP="00EA33CE">
      <w:pPr>
        <w:contextualSpacing/>
        <w:jc w:val="center"/>
        <w:rPr>
          <w:rFonts w:asciiTheme="minorHAnsi" w:eastAsia="Times New Roman" w:hAnsiTheme="minorHAnsi" w:cs="Times New Roman"/>
          <w:sz w:val="24"/>
          <w:szCs w:val="24"/>
          <w:lang w:eastAsia="pl-PL"/>
        </w:rPr>
      </w:pPr>
    </w:p>
    <w:p w14:paraId="7FEEB7C9" w14:textId="77777777" w:rsidR="00EA33CE" w:rsidRPr="00EA33CE" w:rsidRDefault="00EA33CE" w:rsidP="00EA33CE">
      <w:pPr>
        <w:contextualSpacing/>
        <w:jc w:val="center"/>
        <w:rPr>
          <w:rFonts w:asciiTheme="minorHAnsi" w:eastAsia="Times New Roman" w:hAnsiTheme="minorHAnsi" w:cs="Times New Roman"/>
          <w:sz w:val="24"/>
          <w:szCs w:val="24"/>
          <w:lang w:eastAsia="pl-PL"/>
        </w:rPr>
      </w:pPr>
    </w:p>
    <w:p w14:paraId="040D840C" w14:textId="77777777"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DLA</w:t>
      </w:r>
    </w:p>
    <w:p w14:paraId="158F74BD" w14:textId="77777777" w:rsidR="00EA33CE" w:rsidRPr="00EA33CE" w:rsidRDefault="00EA33CE" w:rsidP="00EA33CE">
      <w:pPr>
        <w:contextualSpacing/>
        <w:jc w:val="center"/>
        <w:rPr>
          <w:rFonts w:asciiTheme="minorHAnsi" w:eastAsia="Times New Roman" w:hAnsiTheme="minorHAnsi" w:cs="Times New Roman"/>
          <w:sz w:val="24"/>
          <w:szCs w:val="24"/>
          <w:lang w:eastAsia="pl-PL"/>
        </w:rPr>
      </w:pPr>
    </w:p>
    <w:p w14:paraId="3B7E28DD" w14:textId="77777777" w:rsidR="00EA33CE" w:rsidRPr="00EA33CE" w:rsidRDefault="00EA33CE" w:rsidP="00EA33CE">
      <w:pPr>
        <w:contextualSpacing/>
        <w:jc w:val="center"/>
        <w:rPr>
          <w:rFonts w:asciiTheme="minorHAnsi" w:eastAsia="Times New Roman" w:hAnsiTheme="minorHAnsi" w:cs="Times New Roman"/>
          <w:sz w:val="24"/>
          <w:szCs w:val="24"/>
          <w:lang w:eastAsia="pl-PL"/>
        </w:rPr>
      </w:pPr>
    </w:p>
    <w:p w14:paraId="71F27495" w14:textId="77777777"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PRZETARGU NIEOGRANICZONEGO</w:t>
      </w:r>
    </w:p>
    <w:p w14:paraId="7D6F7136" w14:textId="77777777" w:rsidR="00EA33CE" w:rsidRPr="00EA33CE" w:rsidRDefault="00EA33CE" w:rsidP="00EA33CE">
      <w:pPr>
        <w:contextualSpacing/>
        <w:jc w:val="center"/>
        <w:rPr>
          <w:rFonts w:asciiTheme="minorHAnsi" w:eastAsia="Times New Roman" w:hAnsiTheme="minorHAnsi" w:cs="Times New Roman"/>
          <w:sz w:val="24"/>
          <w:szCs w:val="24"/>
          <w:lang w:eastAsia="pl-PL"/>
        </w:rPr>
      </w:pPr>
    </w:p>
    <w:p w14:paraId="375712D6" w14:textId="77777777"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prowadzanego zgodnie z postanowieniami ustawy z dnia 29 stycznia 2004 r. </w:t>
      </w:r>
      <w:r w:rsidRPr="00EA33CE">
        <w:rPr>
          <w:rFonts w:asciiTheme="minorHAnsi" w:eastAsia="Times New Roman" w:hAnsiTheme="minorHAnsi" w:cs="Times New Roman"/>
          <w:sz w:val="24"/>
          <w:szCs w:val="24"/>
          <w:lang w:eastAsia="pl-PL"/>
        </w:rPr>
        <w:br/>
        <w:t xml:space="preserve">Prawo zamówień publicznych, zwanej w treści SIWZ ustawą </w:t>
      </w:r>
      <w:proofErr w:type="spellStart"/>
      <w:r w:rsidRPr="00EA33CE">
        <w:rPr>
          <w:rFonts w:asciiTheme="minorHAnsi" w:eastAsia="Times New Roman" w:hAnsiTheme="minorHAnsi" w:cs="Times New Roman"/>
          <w:sz w:val="24"/>
          <w:szCs w:val="24"/>
          <w:lang w:eastAsia="pl-PL"/>
        </w:rPr>
        <w:t>Pzp</w:t>
      </w:r>
      <w:proofErr w:type="spellEnd"/>
    </w:p>
    <w:p w14:paraId="227A7D13" w14:textId="77777777" w:rsidR="00EA33CE" w:rsidRPr="00EA33CE" w:rsidRDefault="00EA33CE" w:rsidP="00EA33CE">
      <w:pPr>
        <w:ind w:right="21"/>
        <w:contextualSpacing/>
        <w:jc w:val="center"/>
        <w:rPr>
          <w:rFonts w:asciiTheme="minorHAnsi" w:eastAsia="Times New Roman" w:hAnsiTheme="minorHAnsi" w:cs="Times New Roman"/>
          <w:sz w:val="24"/>
          <w:szCs w:val="24"/>
          <w:lang w:eastAsia="pl-PL"/>
        </w:rPr>
      </w:pPr>
    </w:p>
    <w:p w14:paraId="501D19DE" w14:textId="77777777" w:rsidR="00EA33CE" w:rsidRPr="00EA33CE" w:rsidRDefault="00EA33CE" w:rsidP="00EA33CE">
      <w:pPr>
        <w:ind w:right="21"/>
        <w:contextualSpacing/>
        <w:jc w:val="center"/>
        <w:rPr>
          <w:rFonts w:asciiTheme="minorHAnsi" w:eastAsia="Times New Roman" w:hAnsiTheme="minorHAnsi" w:cs="Times New Roman"/>
          <w:sz w:val="24"/>
          <w:szCs w:val="24"/>
          <w:lang w:eastAsia="pl-PL"/>
        </w:rPr>
      </w:pPr>
    </w:p>
    <w:p w14:paraId="07763CEF" w14:textId="77777777" w:rsidR="00EA33CE" w:rsidRPr="00511C7D" w:rsidRDefault="00EA33CE" w:rsidP="00EA33CE">
      <w:pPr>
        <w:ind w:right="21"/>
        <w:contextualSpacing/>
        <w:jc w:val="center"/>
        <w:rPr>
          <w:rFonts w:asciiTheme="minorHAnsi" w:eastAsia="Times New Roman" w:hAnsiTheme="minorHAnsi" w:cs="Times New Roman"/>
          <w:sz w:val="24"/>
          <w:szCs w:val="24"/>
          <w:lang w:eastAsia="pl-PL"/>
        </w:rPr>
      </w:pPr>
      <w:r w:rsidRPr="00511C7D">
        <w:rPr>
          <w:rFonts w:asciiTheme="minorHAnsi" w:eastAsia="Times New Roman" w:hAnsiTheme="minorHAnsi" w:cs="Times New Roman"/>
          <w:sz w:val="24"/>
          <w:szCs w:val="24"/>
          <w:lang w:eastAsia="pl-PL"/>
        </w:rPr>
        <w:t>na</w:t>
      </w:r>
    </w:p>
    <w:p w14:paraId="5E0C43C9" w14:textId="77777777" w:rsidR="00EA33CE" w:rsidRPr="00511C7D" w:rsidRDefault="00EA33CE" w:rsidP="00EA33CE">
      <w:pPr>
        <w:ind w:right="21"/>
        <w:contextualSpacing/>
        <w:jc w:val="center"/>
        <w:rPr>
          <w:rFonts w:asciiTheme="minorHAnsi" w:eastAsia="Times New Roman" w:hAnsiTheme="minorHAnsi" w:cs="Times New Roman"/>
          <w:sz w:val="24"/>
          <w:szCs w:val="24"/>
          <w:lang w:eastAsia="pl-PL"/>
        </w:rPr>
      </w:pPr>
    </w:p>
    <w:p w14:paraId="1791613F" w14:textId="77777777" w:rsidR="00EA33CE" w:rsidRPr="00511C7D" w:rsidRDefault="00EA33CE" w:rsidP="00EA33CE">
      <w:pPr>
        <w:ind w:right="21"/>
        <w:contextualSpacing/>
        <w:jc w:val="center"/>
        <w:rPr>
          <w:rFonts w:asciiTheme="minorHAnsi" w:eastAsia="Times New Roman" w:hAnsiTheme="minorHAnsi" w:cs="Times New Roman"/>
          <w:sz w:val="24"/>
          <w:szCs w:val="24"/>
          <w:lang w:eastAsia="pl-PL"/>
        </w:rPr>
      </w:pPr>
    </w:p>
    <w:p w14:paraId="3F4C5E97" w14:textId="77777777" w:rsidR="00EA33CE" w:rsidRPr="00EA33CE" w:rsidRDefault="00EA33CE" w:rsidP="00EA33CE">
      <w:pPr>
        <w:spacing w:line="240" w:lineRule="auto"/>
        <w:contextualSpacing/>
        <w:jc w:val="center"/>
        <w:rPr>
          <w:rFonts w:asciiTheme="minorHAnsi" w:hAnsiTheme="minorHAnsi" w:cstheme="minorHAnsi"/>
          <w:b/>
          <w:color w:val="000000" w:themeColor="text1"/>
          <w:sz w:val="28"/>
          <w:szCs w:val="28"/>
          <w:lang w:eastAsia="pl-PL"/>
        </w:rPr>
      </w:pPr>
      <w:r w:rsidRPr="00511C7D">
        <w:rPr>
          <w:rFonts w:asciiTheme="minorHAnsi" w:hAnsiTheme="minorHAnsi" w:cstheme="minorHAnsi"/>
          <w:b/>
          <w:color w:val="000000" w:themeColor="text1"/>
          <w:sz w:val="28"/>
          <w:szCs w:val="28"/>
          <w:lang w:eastAsia="pl-PL"/>
        </w:rPr>
        <w:t xml:space="preserve">dostawę, montaż i uruchomienie </w:t>
      </w:r>
      <w:r w:rsidR="00BF654E" w:rsidRPr="00511C7D">
        <w:rPr>
          <w:rFonts w:asciiTheme="minorHAnsi" w:hAnsiTheme="minorHAnsi" w:cstheme="minorHAnsi"/>
          <w:b/>
          <w:color w:val="000000" w:themeColor="text1"/>
          <w:sz w:val="28"/>
          <w:szCs w:val="28"/>
          <w:lang w:eastAsia="pl-PL"/>
        </w:rPr>
        <w:t>systemu wibracyjnego/udarowego</w:t>
      </w:r>
    </w:p>
    <w:p w14:paraId="6FD5A33D" w14:textId="77777777" w:rsidR="00EA33CE" w:rsidRPr="00EA33CE" w:rsidRDefault="00EA33CE" w:rsidP="00EA33CE">
      <w:pPr>
        <w:ind w:right="21"/>
        <w:contextualSpacing/>
        <w:jc w:val="center"/>
        <w:rPr>
          <w:rFonts w:asciiTheme="minorHAnsi" w:hAnsiTheme="minorHAnsi" w:cs="Times New Roman"/>
          <w:b/>
          <w:sz w:val="24"/>
          <w:szCs w:val="24"/>
          <w:lang w:eastAsia="pl-PL"/>
        </w:rPr>
      </w:pPr>
    </w:p>
    <w:p w14:paraId="71E459F0" w14:textId="77777777" w:rsidR="00EA33CE" w:rsidRPr="00EA33CE" w:rsidRDefault="00EA33CE" w:rsidP="00EA33CE">
      <w:pPr>
        <w:ind w:right="21"/>
        <w:contextualSpacing/>
        <w:jc w:val="center"/>
        <w:rPr>
          <w:rFonts w:asciiTheme="minorHAnsi" w:hAnsiTheme="minorHAnsi" w:cs="Times New Roman"/>
          <w:b/>
          <w:sz w:val="24"/>
          <w:szCs w:val="24"/>
          <w:lang w:eastAsia="pl-PL"/>
        </w:rPr>
      </w:pPr>
    </w:p>
    <w:p w14:paraId="605B32EA" w14:textId="77777777" w:rsidR="00EA33CE" w:rsidRPr="00EA33CE" w:rsidRDefault="00EA33CE" w:rsidP="00EA33CE">
      <w:pPr>
        <w:ind w:right="21"/>
        <w:contextualSpacing/>
        <w:jc w:val="center"/>
        <w:rPr>
          <w:rFonts w:asciiTheme="minorHAnsi" w:hAnsiTheme="minorHAnsi" w:cs="Times New Roman"/>
          <w:b/>
          <w:sz w:val="24"/>
          <w:szCs w:val="24"/>
          <w:lang w:eastAsia="pl-PL"/>
        </w:rPr>
      </w:pPr>
    </w:p>
    <w:p w14:paraId="25BD160C" w14:textId="77777777" w:rsidR="00EA33CE" w:rsidRPr="00EA33CE" w:rsidRDefault="00EA33CE" w:rsidP="00EA33CE">
      <w:pPr>
        <w:ind w:right="21"/>
        <w:contextualSpacing/>
        <w:jc w:val="center"/>
        <w:rPr>
          <w:rFonts w:asciiTheme="minorHAnsi" w:hAnsiTheme="minorHAnsi" w:cs="Times New Roman"/>
          <w:b/>
          <w:sz w:val="24"/>
          <w:szCs w:val="24"/>
          <w:lang w:eastAsia="pl-PL"/>
        </w:rPr>
      </w:pPr>
    </w:p>
    <w:p w14:paraId="6203986F" w14:textId="77777777" w:rsidR="00EA33CE" w:rsidRPr="00EA33CE" w:rsidRDefault="00EA33CE" w:rsidP="00EA33CE">
      <w:pPr>
        <w:ind w:right="21"/>
        <w:contextualSpacing/>
        <w:rPr>
          <w:rFonts w:asciiTheme="minorHAnsi" w:hAnsiTheme="minorHAnsi" w:cs="Times New Roman"/>
          <w:b/>
          <w:sz w:val="24"/>
          <w:szCs w:val="24"/>
          <w:lang w:eastAsia="pl-PL"/>
        </w:rPr>
      </w:pPr>
    </w:p>
    <w:p w14:paraId="3EFBBE81" w14:textId="77777777" w:rsidR="00EA33CE" w:rsidRPr="00EA33CE" w:rsidRDefault="00EA33CE" w:rsidP="00EA33CE">
      <w:pPr>
        <w:ind w:right="21"/>
        <w:contextualSpacing/>
        <w:jc w:val="center"/>
        <w:rPr>
          <w:rFonts w:asciiTheme="minorHAnsi" w:hAnsiTheme="minorHAnsi" w:cs="Times New Roman"/>
          <w:b/>
          <w:sz w:val="24"/>
          <w:szCs w:val="24"/>
          <w:lang w:eastAsia="pl-PL"/>
        </w:rPr>
      </w:pPr>
    </w:p>
    <w:p w14:paraId="5AC82F15" w14:textId="77777777" w:rsidR="00EA33CE" w:rsidRPr="00EA33CE" w:rsidRDefault="00EA33CE" w:rsidP="00EA33CE">
      <w:pPr>
        <w:ind w:right="21"/>
        <w:contextualSpacing/>
        <w:jc w:val="center"/>
        <w:rPr>
          <w:rFonts w:asciiTheme="minorHAnsi" w:hAnsiTheme="minorHAnsi" w:cs="Times New Roman"/>
          <w:b/>
          <w:sz w:val="24"/>
          <w:szCs w:val="24"/>
          <w:lang w:eastAsia="pl-PL"/>
        </w:rPr>
      </w:pPr>
    </w:p>
    <w:p w14:paraId="4CC318C3" w14:textId="77777777" w:rsidR="00EA33CE" w:rsidRPr="00EA33CE" w:rsidRDefault="00EA33CE" w:rsidP="00EA33CE">
      <w:pPr>
        <w:ind w:right="21"/>
        <w:contextualSpacing/>
        <w:jc w:val="center"/>
        <w:rPr>
          <w:rFonts w:asciiTheme="minorHAnsi" w:hAnsiTheme="minorHAnsi" w:cs="Times New Roman"/>
          <w:b/>
          <w:sz w:val="24"/>
          <w:szCs w:val="24"/>
          <w:lang w:eastAsia="pl-PL"/>
        </w:rPr>
      </w:pPr>
    </w:p>
    <w:p w14:paraId="7399CC66" w14:textId="77777777" w:rsidR="00EA33CE" w:rsidRPr="00EA33CE" w:rsidRDefault="00EA33CE" w:rsidP="00EA33CE">
      <w:pPr>
        <w:ind w:right="21"/>
        <w:contextualSpacing/>
        <w:jc w:val="center"/>
        <w:rPr>
          <w:rFonts w:asciiTheme="minorHAnsi" w:hAnsiTheme="minorHAnsi" w:cs="Times New Roman"/>
          <w:b/>
          <w:sz w:val="24"/>
          <w:szCs w:val="24"/>
          <w:lang w:eastAsia="pl-PL"/>
        </w:rPr>
      </w:pPr>
    </w:p>
    <w:p w14:paraId="6E4363E8" w14:textId="4FD1E49C"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hAnsiTheme="minorHAnsi" w:cs="Times New Roman"/>
          <w:b/>
          <w:sz w:val="24"/>
          <w:szCs w:val="24"/>
          <w:lang w:eastAsia="pl-PL"/>
        </w:rPr>
        <w:t xml:space="preserve">Poznań, </w:t>
      </w:r>
      <w:r w:rsidR="00CD4B0C">
        <w:rPr>
          <w:rFonts w:asciiTheme="minorHAnsi" w:hAnsiTheme="minorHAnsi" w:cs="Times New Roman"/>
          <w:b/>
          <w:sz w:val="24"/>
          <w:szCs w:val="24"/>
          <w:lang w:eastAsia="pl-PL"/>
        </w:rPr>
        <w:t>styczeń 2020</w:t>
      </w:r>
      <w:r w:rsidRPr="00EA33CE">
        <w:rPr>
          <w:rFonts w:asciiTheme="minorHAnsi" w:hAnsiTheme="minorHAnsi" w:cs="Times New Roman"/>
          <w:b/>
          <w:sz w:val="24"/>
          <w:szCs w:val="24"/>
          <w:lang w:eastAsia="pl-PL"/>
        </w:rPr>
        <w:t xml:space="preserve"> r.</w:t>
      </w:r>
    </w:p>
    <w:p w14:paraId="2A5CA90E"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b/>
          <w:sz w:val="24"/>
          <w:szCs w:val="24"/>
          <w:lang w:eastAsia="pl-PL"/>
        </w:rPr>
        <w:br w:type="page"/>
      </w:r>
      <w:r w:rsidRPr="00EA33CE">
        <w:rPr>
          <w:rFonts w:asciiTheme="minorHAnsi" w:eastAsia="Times New Roman" w:hAnsiTheme="minorHAnsi" w:cs="Times New Roman"/>
          <w:b/>
          <w:sz w:val="24"/>
          <w:szCs w:val="24"/>
          <w:lang w:eastAsia="pl-PL"/>
        </w:rPr>
        <w:lastRenderedPageBreak/>
        <w:t>Nazwa i adres Zamawiającego</w:t>
      </w:r>
    </w:p>
    <w:p w14:paraId="3FCE359C" w14:textId="77777777" w:rsidR="00EA33CE" w:rsidRPr="00EA33CE" w:rsidRDefault="00EA33CE" w:rsidP="00EA33CE">
      <w:pPr>
        <w:tabs>
          <w:tab w:val="left" w:pos="426"/>
        </w:tabs>
        <w:spacing w:line="240" w:lineRule="auto"/>
        <w:contextualSpacing/>
        <w:jc w:val="both"/>
        <w:rPr>
          <w:rFonts w:asciiTheme="minorHAnsi" w:eastAsia="Times New Roman" w:hAnsiTheme="minorHAnsi" w:cs="Times New Roman"/>
          <w:b/>
          <w:sz w:val="24"/>
          <w:szCs w:val="24"/>
          <w:lang w:eastAsia="pl-PL"/>
        </w:rPr>
      </w:pPr>
    </w:p>
    <w:p w14:paraId="64EB6C00" w14:textId="77777777"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Sieć Badawcza Łukasiewicz – Instytut Metali Nieżelaznych Oddział w Poznaniu</w:t>
      </w:r>
    </w:p>
    <w:p w14:paraId="369B1D08" w14:textId="77777777"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ul. Forteczna 12, 61-362 Poznań, </w:t>
      </w:r>
    </w:p>
    <w:p w14:paraId="77B59E5C" w14:textId="77777777"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NIP 631 020 07 71</w:t>
      </w:r>
    </w:p>
    <w:p w14:paraId="0D892331" w14:textId="77777777"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tel. +48 61 27 97 800</w:t>
      </w:r>
    </w:p>
    <w:p w14:paraId="6117B457" w14:textId="77777777" w:rsidR="00EA33CE" w:rsidRPr="00EA33CE" w:rsidRDefault="00EA33CE" w:rsidP="00EA33CE">
      <w:pPr>
        <w:contextualSpacing/>
        <w:jc w:val="both"/>
        <w:rPr>
          <w:rFonts w:asciiTheme="minorHAnsi" w:eastAsia="Times New Roman" w:hAnsiTheme="minorHAnsi" w:cstheme="minorHAnsi"/>
          <w:sz w:val="24"/>
          <w:szCs w:val="24"/>
          <w:lang w:val="en-US" w:eastAsia="pl-PL"/>
        </w:rPr>
      </w:pPr>
      <w:r w:rsidRPr="00EA33CE">
        <w:rPr>
          <w:rFonts w:asciiTheme="minorHAnsi" w:eastAsia="Times New Roman" w:hAnsiTheme="minorHAnsi" w:cstheme="minorHAnsi"/>
          <w:sz w:val="24"/>
          <w:szCs w:val="24"/>
          <w:lang w:val="en-US" w:eastAsia="pl-PL"/>
        </w:rPr>
        <w:t>fax. +48 61 27 97 897</w:t>
      </w:r>
    </w:p>
    <w:p w14:paraId="656E4784" w14:textId="77777777" w:rsidR="00EA33CE" w:rsidRPr="00EA33CE" w:rsidRDefault="00EA33CE" w:rsidP="00EA33CE">
      <w:pPr>
        <w:contextualSpacing/>
        <w:jc w:val="both"/>
        <w:rPr>
          <w:rFonts w:asciiTheme="minorHAnsi" w:eastAsia="Times New Roman" w:hAnsiTheme="minorHAnsi" w:cstheme="minorHAnsi"/>
          <w:color w:val="0000FF"/>
          <w:sz w:val="24"/>
          <w:szCs w:val="24"/>
          <w:u w:val="single"/>
          <w:lang w:val="en-US" w:eastAsia="pl-PL"/>
        </w:rPr>
      </w:pPr>
      <w:proofErr w:type="spellStart"/>
      <w:r w:rsidRPr="00EA33CE">
        <w:rPr>
          <w:rFonts w:asciiTheme="minorHAnsi" w:eastAsia="Times New Roman" w:hAnsiTheme="minorHAnsi" w:cstheme="minorHAnsi"/>
          <w:sz w:val="24"/>
          <w:szCs w:val="24"/>
          <w:lang w:val="en-US" w:eastAsia="pl-PL"/>
        </w:rPr>
        <w:t>Adres</w:t>
      </w:r>
      <w:proofErr w:type="spellEnd"/>
      <w:r w:rsidRPr="00EA33CE">
        <w:rPr>
          <w:rFonts w:asciiTheme="minorHAnsi" w:eastAsia="Times New Roman" w:hAnsiTheme="minorHAnsi" w:cstheme="minorHAnsi"/>
          <w:sz w:val="24"/>
          <w:szCs w:val="24"/>
          <w:lang w:val="en-US" w:eastAsia="pl-PL"/>
        </w:rPr>
        <w:t xml:space="preserve"> email: </w:t>
      </w:r>
      <w:hyperlink r:id="rId7" w:history="1">
        <w:r w:rsidRPr="00EA33CE">
          <w:rPr>
            <w:rStyle w:val="Hipercze"/>
            <w:rFonts w:asciiTheme="minorHAnsi" w:eastAsia="Times New Roman" w:hAnsiTheme="minorHAnsi" w:cstheme="minorHAnsi"/>
            <w:sz w:val="24"/>
            <w:szCs w:val="24"/>
            <w:lang w:val="en-US" w:eastAsia="pl-PL"/>
          </w:rPr>
          <w:t>przetargi@claio.poznan.pl</w:t>
        </w:r>
      </w:hyperlink>
    </w:p>
    <w:p w14:paraId="52BA91F5" w14:textId="77777777" w:rsidR="00EA33CE" w:rsidRPr="00EA33CE" w:rsidRDefault="00EA33CE" w:rsidP="00EA33CE">
      <w:pPr>
        <w:contextualSpacing/>
        <w:jc w:val="both"/>
        <w:rPr>
          <w:rFonts w:asciiTheme="minorHAnsi" w:hAnsiTheme="minorHAnsi" w:cs="Calibri"/>
          <w:sz w:val="24"/>
          <w:szCs w:val="24"/>
        </w:rPr>
      </w:pPr>
      <w:r w:rsidRPr="00EA33CE">
        <w:rPr>
          <w:rFonts w:asciiTheme="minorHAnsi" w:hAnsiTheme="minorHAnsi" w:cs="Calibri"/>
          <w:sz w:val="24"/>
          <w:szCs w:val="24"/>
        </w:rPr>
        <w:t>Strona internetowa: http://www.claio.poznan.pl</w:t>
      </w:r>
    </w:p>
    <w:p w14:paraId="5A7E3945" w14:textId="77777777" w:rsidR="00EA33CE" w:rsidRPr="00EA33CE" w:rsidRDefault="00EA33CE" w:rsidP="00EA33CE">
      <w:pPr>
        <w:ind w:left="426"/>
        <w:contextualSpacing/>
        <w:jc w:val="both"/>
        <w:rPr>
          <w:rFonts w:asciiTheme="minorHAnsi" w:eastAsia="Times New Roman" w:hAnsiTheme="minorHAnsi" w:cstheme="minorHAnsi"/>
          <w:color w:val="000000" w:themeColor="text1"/>
          <w:sz w:val="24"/>
          <w:szCs w:val="24"/>
          <w:lang w:eastAsia="pl-PL"/>
        </w:rPr>
      </w:pPr>
    </w:p>
    <w:p w14:paraId="37680108" w14:textId="6312B4F2" w:rsidR="00EA33CE" w:rsidRPr="00CD4B0C" w:rsidRDefault="00EA33CE" w:rsidP="00EA33CE">
      <w:pPr>
        <w:contextualSpacing/>
        <w:jc w:val="both"/>
        <w:rPr>
          <w:rFonts w:asciiTheme="minorHAnsi" w:eastAsia="Times New Roman" w:hAnsiTheme="minorHAnsi" w:cstheme="minorHAnsi"/>
          <w:b/>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 xml:space="preserve">Zamawiający nadał postępowaniu </w:t>
      </w:r>
      <w:r w:rsidRPr="00CD4B0C">
        <w:rPr>
          <w:rFonts w:asciiTheme="minorHAnsi" w:eastAsia="Times New Roman" w:hAnsiTheme="minorHAnsi" w:cstheme="minorHAnsi"/>
          <w:color w:val="000000" w:themeColor="text1"/>
          <w:sz w:val="24"/>
          <w:szCs w:val="24"/>
          <w:lang w:eastAsia="pl-PL"/>
        </w:rPr>
        <w:t xml:space="preserve">znak sprawy: </w:t>
      </w:r>
      <w:r w:rsidR="00D82550">
        <w:rPr>
          <w:rFonts w:asciiTheme="minorHAnsi" w:eastAsia="Times New Roman" w:hAnsiTheme="minorHAnsi" w:cstheme="minorHAnsi"/>
          <w:b/>
          <w:color w:val="000000" w:themeColor="text1"/>
          <w:sz w:val="24"/>
          <w:szCs w:val="24"/>
          <w:lang w:eastAsia="pl-PL"/>
        </w:rPr>
        <w:t>1</w:t>
      </w:r>
      <w:r w:rsidRPr="00CD4B0C">
        <w:rPr>
          <w:rFonts w:asciiTheme="minorHAnsi" w:eastAsia="Times New Roman" w:hAnsiTheme="minorHAnsi" w:cstheme="minorHAnsi"/>
          <w:b/>
          <w:color w:val="000000" w:themeColor="text1"/>
          <w:sz w:val="24"/>
          <w:szCs w:val="24"/>
          <w:lang w:eastAsia="pl-PL"/>
        </w:rPr>
        <w:t>/PN/20</w:t>
      </w:r>
      <w:r w:rsidR="00D82550">
        <w:rPr>
          <w:rFonts w:asciiTheme="minorHAnsi" w:eastAsia="Times New Roman" w:hAnsiTheme="minorHAnsi" w:cstheme="minorHAnsi"/>
          <w:b/>
          <w:color w:val="000000" w:themeColor="text1"/>
          <w:sz w:val="24"/>
          <w:szCs w:val="24"/>
          <w:lang w:eastAsia="pl-PL"/>
        </w:rPr>
        <w:t>20</w:t>
      </w:r>
    </w:p>
    <w:p w14:paraId="2BFC5824" w14:textId="77777777" w:rsidR="00EA33CE" w:rsidRPr="00CD4B0C" w:rsidRDefault="00EA33CE" w:rsidP="00EA33CE">
      <w:pPr>
        <w:contextualSpacing/>
        <w:jc w:val="both"/>
        <w:rPr>
          <w:rFonts w:asciiTheme="minorHAnsi" w:eastAsia="Times New Roman" w:hAnsiTheme="minorHAnsi" w:cstheme="minorHAnsi"/>
          <w:sz w:val="24"/>
          <w:szCs w:val="24"/>
          <w:lang w:eastAsia="pl-PL"/>
        </w:rPr>
      </w:pPr>
    </w:p>
    <w:p w14:paraId="0ACE1474" w14:textId="77777777" w:rsidR="00EA33CE" w:rsidRPr="00EA33CE" w:rsidRDefault="00EA33CE" w:rsidP="00EA33CE">
      <w:pPr>
        <w:contextualSpacing/>
        <w:jc w:val="both"/>
        <w:rPr>
          <w:rFonts w:asciiTheme="minorHAnsi" w:eastAsia="Times New Roman" w:hAnsiTheme="minorHAnsi" w:cstheme="minorHAnsi"/>
          <w:sz w:val="24"/>
          <w:szCs w:val="24"/>
          <w:lang w:eastAsia="pl-PL"/>
        </w:rPr>
      </w:pPr>
      <w:r w:rsidRPr="00CD4B0C">
        <w:rPr>
          <w:rFonts w:asciiTheme="minorHAnsi" w:eastAsia="Times New Roman" w:hAnsiTheme="minorHAnsi" w:cstheme="minorHAnsi"/>
          <w:sz w:val="24"/>
          <w:szCs w:val="24"/>
          <w:lang w:eastAsia="pl-PL"/>
        </w:rPr>
        <w:t>Wykonawca w kontaktach z Zamawiającym</w:t>
      </w:r>
      <w:r w:rsidRPr="00EA33CE">
        <w:rPr>
          <w:rFonts w:asciiTheme="minorHAnsi" w:eastAsia="Times New Roman" w:hAnsiTheme="minorHAnsi" w:cstheme="minorHAnsi"/>
          <w:sz w:val="24"/>
          <w:szCs w:val="24"/>
          <w:lang w:eastAsia="pl-PL"/>
        </w:rPr>
        <w:t xml:space="preserve"> oraz korespondencji kierowanej do Zamawiającego jest zobowiązany powoływać się na ten znak.</w:t>
      </w:r>
    </w:p>
    <w:p w14:paraId="1EF36289" w14:textId="77777777" w:rsidR="00EA33CE" w:rsidRPr="00EA33CE" w:rsidRDefault="00EA33CE" w:rsidP="00EA33CE">
      <w:pPr>
        <w:ind w:left="426"/>
        <w:contextualSpacing/>
        <w:jc w:val="both"/>
        <w:rPr>
          <w:rFonts w:asciiTheme="minorHAnsi" w:eastAsia="Times New Roman" w:hAnsiTheme="minorHAnsi" w:cstheme="minorHAnsi"/>
          <w:sz w:val="24"/>
          <w:szCs w:val="24"/>
          <w:lang w:eastAsia="pl-PL"/>
        </w:rPr>
      </w:pPr>
    </w:p>
    <w:p w14:paraId="7A17E4AD" w14:textId="77777777" w:rsidR="00EA33CE" w:rsidRPr="00EA33CE" w:rsidRDefault="00EA33CE" w:rsidP="00EA33CE">
      <w:pPr>
        <w:contextualSpacing/>
        <w:jc w:val="both"/>
        <w:rPr>
          <w:rFonts w:asciiTheme="minorHAnsi" w:hAnsiTheme="minorHAnsi" w:cs="Calibri"/>
          <w:b/>
          <w:sz w:val="24"/>
          <w:szCs w:val="24"/>
        </w:rPr>
      </w:pPr>
      <w:r w:rsidRPr="00EA33CE">
        <w:rPr>
          <w:rFonts w:asciiTheme="minorHAnsi" w:hAnsiTheme="minorHAnsi" w:cs="Calibri"/>
          <w:b/>
          <w:sz w:val="24"/>
          <w:szCs w:val="24"/>
        </w:rPr>
        <w:t xml:space="preserve">Informacja o przetwarzaniu danych osobowych dla osób biorących udział w postępowaniu </w:t>
      </w:r>
      <w:r w:rsidRPr="00EA33CE">
        <w:rPr>
          <w:rFonts w:asciiTheme="minorHAnsi" w:hAnsiTheme="minorHAnsi" w:cs="Calibri"/>
          <w:b/>
          <w:sz w:val="24"/>
          <w:szCs w:val="24"/>
        </w:rPr>
        <w:br/>
        <w:t>o udzielenie zamówienia publicznego</w:t>
      </w:r>
    </w:p>
    <w:p w14:paraId="01ACC8EC" w14:textId="77777777" w:rsidR="00EA33CE" w:rsidRPr="00EA33CE" w:rsidRDefault="00EA33CE" w:rsidP="00EA33CE">
      <w:pPr>
        <w:ind w:left="426"/>
        <w:contextualSpacing/>
        <w:jc w:val="both"/>
        <w:rPr>
          <w:rFonts w:asciiTheme="minorHAnsi" w:hAnsiTheme="minorHAnsi" w:cs="Calibri"/>
          <w:b/>
          <w:sz w:val="24"/>
          <w:szCs w:val="24"/>
        </w:rPr>
      </w:pPr>
    </w:p>
    <w:p w14:paraId="5CA4B3D0" w14:textId="77777777" w:rsidR="00EA33CE" w:rsidRPr="00EA33CE" w:rsidRDefault="00EA33CE" w:rsidP="00EA33CE">
      <w:pPr>
        <w:contextualSpacing/>
        <w:jc w:val="both"/>
        <w:rPr>
          <w:rFonts w:asciiTheme="minorHAnsi" w:hAnsiTheme="minorHAnsi" w:cs="Calibri"/>
          <w:b/>
          <w:sz w:val="24"/>
          <w:szCs w:val="24"/>
        </w:rPr>
      </w:pPr>
      <w:r w:rsidRPr="00EA33CE">
        <w:rPr>
          <w:rFonts w:asciiTheme="minorHAnsi" w:hAnsiTheme="minorHAns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593279B" w14:textId="77777777" w:rsidR="00EA33CE" w:rsidRPr="00EA33CE" w:rsidRDefault="00EA33CE" w:rsidP="00EA33CE">
      <w:pPr>
        <w:spacing w:after="150"/>
        <w:ind w:left="426"/>
        <w:rPr>
          <w:rFonts w:asciiTheme="minorHAnsi" w:hAnsiTheme="minorHAnsi" w:cs="Calibri"/>
          <w:b/>
          <w:sz w:val="24"/>
          <w:szCs w:val="24"/>
        </w:rPr>
      </w:pPr>
    </w:p>
    <w:p w14:paraId="69632525" w14:textId="77777777" w:rsidR="00EA33CE" w:rsidRPr="00EA33CE" w:rsidRDefault="00EA33CE" w:rsidP="00EA33CE">
      <w:pPr>
        <w:spacing w:after="150"/>
        <w:rPr>
          <w:rFonts w:asciiTheme="minorHAnsi" w:hAnsiTheme="minorHAnsi" w:cs="Calibri"/>
          <w:b/>
          <w:sz w:val="24"/>
          <w:szCs w:val="24"/>
        </w:rPr>
      </w:pPr>
      <w:r w:rsidRPr="00EA33CE">
        <w:rPr>
          <w:rFonts w:asciiTheme="minorHAnsi" w:hAnsiTheme="minorHAnsi" w:cs="Calibri"/>
          <w:b/>
          <w:sz w:val="24"/>
          <w:szCs w:val="24"/>
        </w:rPr>
        <w:t>Administratorem danych osobowych jest:</w:t>
      </w:r>
    </w:p>
    <w:p w14:paraId="1B94F35B" w14:textId="77777777" w:rsidR="00EA33CE" w:rsidRPr="00EA33CE" w:rsidRDefault="00EA33CE" w:rsidP="00EA33CE">
      <w:pPr>
        <w:pStyle w:val="Nagwek"/>
        <w:tabs>
          <w:tab w:val="clear" w:pos="4536"/>
          <w:tab w:val="clear" w:pos="9072"/>
        </w:tabs>
        <w:rPr>
          <w:rFonts w:asciiTheme="minorHAnsi" w:eastAsia="Times New Roman" w:hAnsiTheme="minorHAnsi"/>
          <w:sz w:val="24"/>
          <w:szCs w:val="24"/>
          <w:lang w:eastAsia="pl-PL"/>
        </w:rPr>
      </w:pPr>
      <w:r w:rsidRPr="00EA33CE">
        <w:rPr>
          <w:rFonts w:asciiTheme="minorHAnsi" w:eastAsia="Times New Roman" w:hAnsiTheme="minorHAnsi" w:cstheme="minorHAnsi"/>
          <w:sz w:val="24"/>
          <w:szCs w:val="24"/>
          <w:lang w:eastAsia="pl-PL"/>
        </w:rPr>
        <w:t xml:space="preserve">Sieć Badawcza Łukasiewicz – </w:t>
      </w:r>
      <w:r w:rsidRPr="00EA33CE">
        <w:rPr>
          <w:rFonts w:asciiTheme="minorHAnsi" w:eastAsia="Times New Roman" w:hAnsiTheme="minorHAnsi"/>
          <w:sz w:val="24"/>
          <w:szCs w:val="24"/>
          <w:lang w:eastAsia="pl-PL"/>
        </w:rPr>
        <w:t>Instytut Metali Nieżelaznych,</w:t>
      </w:r>
    </w:p>
    <w:p w14:paraId="3C48A7A6" w14:textId="77777777" w:rsidR="00EA33CE" w:rsidRPr="00EA33CE" w:rsidRDefault="00EA33CE" w:rsidP="00EA33CE">
      <w:pPr>
        <w:pStyle w:val="Nagwek"/>
        <w:tabs>
          <w:tab w:val="clear" w:pos="4536"/>
          <w:tab w:val="clear" w:pos="9072"/>
        </w:tabs>
        <w:rPr>
          <w:rFonts w:asciiTheme="minorHAnsi" w:eastAsia="Times New Roman" w:hAnsiTheme="minorHAnsi"/>
          <w:sz w:val="24"/>
          <w:szCs w:val="24"/>
          <w:lang w:eastAsia="pl-PL"/>
        </w:rPr>
      </w:pPr>
      <w:r w:rsidRPr="00EA33CE">
        <w:rPr>
          <w:rFonts w:asciiTheme="minorHAnsi" w:eastAsia="Times New Roman" w:hAnsiTheme="minorHAnsi"/>
          <w:sz w:val="24"/>
          <w:szCs w:val="24"/>
          <w:lang w:eastAsia="pl-PL"/>
        </w:rPr>
        <w:t>ul. Sowińskiego 5</w:t>
      </w:r>
      <w:r w:rsidRPr="00EA33CE">
        <w:rPr>
          <w:rFonts w:asciiTheme="minorHAnsi" w:eastAsia="Times New Roman" w:hAnsiTheme="minorHAnsi"/>
          <w:sz w:val="24"/>
          <w:szCs w:val="24"/>
          <w:lang w:eastAsia="pl-PL"/>
        </w:rPr>
        <w:br/>
        <w:t>44-100 Gliwice</w:t>
      </w:r>
    </w:p>
    <w:p w14:paraId="4A5470FB" w14:textId="77777777" w:rsidR="00EA33CE" w:rsidRPr="00EA33CE" w:rsidRDefault="00EA33CE" w:rsidP="00EA33CE">
      <w:pPr>
        <w:pStyle w:val="Nagwek"/>
        <w:tabs>
          <w:tab w:val="clear" w:pos="4536"/>
          <w:tab w:val="clear" w:pos="9072"/>
        </w:tabs>
        <w:rPr>
          <w:rFonts w:asciiTheme="minorHAnsi" w:eastAsia="Times New Roman" w:hAnsiTheme="minorHAnsi"/>
          <w:sz w:val="24"/>
          <w:szCs w:val="24"/>
          <w:lang w:eastAsia="pl-PL"/>
        </w:rPr>
      </w:pPr>
    </w:p>
    <w:p w14:paraId="247F39AF" w14:textId="77777777" w:rsidR="00EA33CE" w:rsidRPr="00EA33CE" w:rsidRDefault="00EA33CE" w:rsidP="00EA33CE">
      <w:pPr>
        <w:pStyle w:val="Nagwek"/>
        <w:tabs>
          <w:tab w:val="clear" w:pos="4536"/>
          <w:tab w:val="clear" w:pos="9072"/>
        </w:tabs>
        <w:rPr>
          <w:rFonts w:asciiTheme="minorHAnsi" w:hAnsiTheme="minorHAnsi" w:cs="Calibri"/>
          <w:b/>
          <w:sz w:val="24"/>
          <w:szCs w:val="24"/>
        </w:rPr>
      </w:pPr>
      <w:r w:rsidRPr="00EA33CE">
        <w:rPr>
          <w:rFonts w:asciiTheme="minorHAnsi" w:hAnsiTheme="minorHAnsi" w:cs="Calibri"/>
          <w:b/>
          <w:sz w:val="24"/>
          <w:szCs w:val="24"/>
        </w:rPr>
        <w:t>Inspektorem ochrony danych osobowych jest:</w:t>
      </w:r>
    </w:p>
    <w:p w14:paraId="3FD4A2A6" w14:textId="77777777" w:rsidR="00EA33CE" w:rsidRPr="00EA33CE" w:rsidRDefault="00EA33CE" w:rsidP="00EA33CE">
      <w:pPr>
        <w:pStyle w:val="Nagwek"/>
        <w:tabs>
          <w:tab w:val="clear" w:pos="4536"/>
          <w:tab w:val="clear" w:pos="9072"/>
        </w:tabs>
        <w:ind w:left="426"/>
        <w:jc w:val="both"/>
        <w:rPr>
          <w:rFonts w:asciiTheme="minorHAnsi" w:hAnsiTheme="minorHAnsi" w:cs="Calibri"/>
          <w:sz w:val="24"/>
          <w:szCs w:val="24"/>
        </w:rPr>
      </w:pPr>
      <w:r w:rsidRPr="00EA33CE">
        <w:rPr>
          <w:rFonts w:asciiTheme="minorHAnsi" w:hAnsiTheme="minorHAnsi" w:cs="Calibri"/>
          <w:b/>
          <w:sz w:val="24"/>
          <w:szCs w:val="24"/>
        </w:rPr>
        <w:t>Pani Renata Lewandowska</w:t>
      </w:r>
      <w:r w:rsidRPr="00EA33CE">
        <w:rPr>
          <w:rFonts w:asciiTheme="minorHAnsi" w:hAnsiTheme="minorHAnsi" w:cs="Calibri"/>
          <w:sz w:val="24"/>
          <w:szCs w:val="24"/>
        </w:rPr>
        <w:t xml:space="preserve">, adres e-mail: </w:t>
      </w:r>
      <w:hyperlink r:id="rId8" w:history="1">
        <w:r w:rsidRPr="00EA33CE">
          <w:rPr>
            <w:rStyle w:val="Hipercze"/>
            <w:rFonts w:asciiTheme="minorHAnsi" w:hAnsiTheme="minorHAnsi" w:cs="Calibri"/>
            <w:sz w:val="24"/>
            <w:szCs w:val="24"/>
          </w:rPr>
          <w:t>iod@imn.gliwice.pl</w:t>
        </w:r>
      </w:hyperlink>
    </w:p>
    <w:p w14:paraId="5B709D5C" w14:textId="77777777" w:rsidR="00EA33CE" w:rsidRPr="00EA33CE" w:rsidRDefault="00EA33CE" w:rsidP="00EA33CE">
      <w:pPr>
        <w:pStyle w:val="Nagwek"/>
        <w:tabs>
          <w:tab w:val="clear" w:pos="4536"/>
          <w:tab w:val="clear" w:pos="9072"/>
        </w:tabs>
        <w:ind w:left="426"/>
        <w:jc w:val="both"/>
        <w:rPr>
          <w:rFonts w:asciiTheme="minorHAnsi" w:hAnsiTheme="minorHAnsi" w:cs="Calibri"/>
          <w:sz w:val="24"/>
          <w:szCs w:val="24"/>
        </w:rPr>
      </w:pPr>
    </w:p>
    <w:p w14:paraId="0A51B136" w14:textId="77777777"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Dane osobowe przetwarzane będą na podstawie art. 6 ust. 1 lit. c RODO w celu związanym </w:t>
      </w:r>
      <w:r w:rsidRPr="00EA33CE">
        <w:rPr>
          <w:rFonts w:asciiTheme="minorHAnsi" w:hAnsiTheme="minorHAnsi" w:cs="Calibri"/>
          <w:sz w:val="24"/>
          <w:szCs w:val="24"/>
        </w:rPr>
        <w:br/>
        <w:t>z postępowaniem o udzielenie niniejszego zamówienia publicznego.</w:t>
      </w:r>
    </w:p>
    <w:p w14:paraId="7B080F79" w14:textId="77777777"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7F469142" w14:textId="77777777"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Odbiorcami danych mogą być również dostawcy usług zaopatrujących </w:t>
      </w:r>
      <w:r w:rsidRPr="00EA33CE">
        <w:rPr>
          <w:rFonts w:asciiTheme="minorHAnsi" w:eastAsia="Times New Roman" w:hAnsiTheme="minorHAnsi"/>
          <w:sz w:val="24"/>
          <w:szCs w:val="24"/>
          <w:lang w:eastAsia="pl-PL"/>
        </w:rPr>
        <w:t>Instytut Metali Nieżelaznych</w:t>
      </w:r>
      <w:r w:rsidRPr="00EA33CE">
        <w:rPr>
          <w:rFonts w:asciiTheme="minorHAnsi" w:hAnsiTheme="minorHAnsi" w:cs="Calibri"/>
          <w:sz w:val="24"/>
          <w:szCs w:val="24"/>
        </w:rPr>
        <w:t xml:space="preserve"> w rozwiązania techniczne oraz organizacyjne, umożliwiające zarządzanie </w:t>
      </w:r>
      <w:r w:rsidRPr="00EA33CE">
        <w:rPr>
          <w:rFonts w:asciiTheme="minorHAnsi" w:eastAsia="Times New Roman" w:hAnsiTheme="minorHAnsi"/>
          <w:sz w:val="24"/>
          <w:szCs w:val="24"/>
          <w:lang w:eastAsia="pl-PL"/>
        </w:rPr>
        <w:t>Instytutem Metali Nieżelaznych</w:t>
      </w:r>
      <w:r w:rsidRPr="00EA33CE">
        <w:rPr>
          <w:rFonts w:asciiTheme="minorHAnsi" w:hAnsiTheme="minorHAns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513F9E5E" w14:textId="77777777"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Państwa dane osobowe będą przechowywane zgodnie z art. 97 ust. 1 ustawy </w:t>
      </w:r>
      <w:proofErr w:type="spellStart"/>
      <w:r w:rsidRPr="00EA33CE">
        <w:rPr>
          <w:rFonts w:asciiTheme="minorHAnsi" w:hAnsiTheme="minorHAnsi" w:cs="Calibri"/>
          <w:sz w:val="24"/>
          <w:szCs w:val="24"/>
        </w:rPr>
        <w:t>Pzp</w:t>
      </w:r>
      <w:proofErr w:type="spellEnd"/>
      <w:r w:rsidRPr="00EA33CE">
        <w:rPr>
          <w:rFonts w:asciiTheme="minorHAnsi" w:hAnsiTheme="minorHAnsi" w:cs="Calibri"/>
          <w:sz w:val="24"/>
          <w:szCs w:val="24"/>
        </w:rPr>
        <w:t>, przez okres 4 lat od dnia zakończenia postępowania o udzielenie zamówienia, a jeżeli czas obowiązywania umowy przekracza 4 lata, okres przechowywania obejmuje cały czas obowiązywania umowy.</w:t>
      </w:r>
    </w:p>
    <w:p w14:paraId="10AB4CB3" w14:textId="77777777"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Obowiązek podania przez Państwa danych osobowych bezpośrednio Państwa dotyczących </w:t>
      </w:r>
      <w:r w:rsidRPr="00EA33CE">
        <w:rPr>
          <w:rFonts w:asciiTheme="minorHAnsi" w:hAnsiTheme="minorHAnsi" w:cs="Calibri"/>
          <w:sz w:val="24"/>
          <w:szCs w:val="24"/>
        </w:rPr>
        <w:br/>
        <w:t xml:space="preserve">jest wymogiem ustawowym określonym w przepisach ustawy </w:t>
      </w:r>
      <w:proofErr w:type="spellStart"/>
      <w:r w:rsidRPr="00EA33CE">
        <w:rPr>
          <w:rFonts w:asciiTheme="minorHAnsi" w:hAnsiTheme="minorHAnsi" w:cs="Calibri"/>
          <w:sz w:val="24"/>
          <w:szCs w:val="24"/>
        </w:rPr>
        <w:t>Pzp</w:t>
      </w:r>
      <w:proofErr w:type="spellEnd"/>
      <w:r w:rsidRPr="00EA33CE">
        <w:rPr>
          <w:rFonts w:asciiTheme="minorHAnsi" w:hAnsiTheme="minorHAnsi" w:cs="Calibri"/>
          <w:sz w:val="24"/>
          <w:szCs w:val="24"/>
        </w:rPr>
        <w:t xml:space="preserve">, związanym z udziałem </w:t>
      </w:r>
      <w:r w:rsidRPr="00EA33CE">
        <w:rPr>
          <w:rFonts w:asciiTheme="minorHAnsi" w:hAnsiTheme="minorHAnsi" w:cs="Calibri"/>
          <w:sz w:val="24"/>
          <w:szCs w:val="24"/>
        </w:rPr>
        <w:br/>
        <w:t xml:space="preserve">w postępowaniu o udzielenie zamówienia publicznego; konsekwencje niepodania określonych danych wynikają z ustawy </w:t>
      </w:r>
      <w:proofErr w:type="spellStart"/>
      <w:r w:rsidRPr="00EA33CE">
        <w:rPr>
          <w:rFonts w:asciiTheme="minorHAnsi" w:hAnsiTheme="minorHAnsi" w:cs="Calibri"/>
          <w:sz w:val="24"/>
          <w:szCs w:val="24"/>
        </w:rPr>
        <w:t>Pzp</w:t>
      </w:r>
      <w:proofErr w:type="spellEnd"/>
      <w:r w:rsidRPr="00EA33CE">
        <w:rPr>
          <w:rFonts w:asciiTheme="minorHAnsi" w:hAnsiTheme="minorHAnsi" w:cs="Calibri"/>
          <w:sz w:val="24"/>
          <w:szCs w:val="24"/>
        </w:rPr>
        <w:t>.</w:t>
      </w:r>
    </w:p>
    <w:p w14:paraId="16AA2C9F" w14:textId="77777777"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W odniesieniu do Państwa danych osobowych decyzje nie będą podejmowane w sposób zautomatyzowany.</w:t>
      </w:r>
    </w:p>
    <w:p w14:paraId="197E8F14" w14:textId="77777777" w:rsidR="00EA33CE" w:rsidRPr="00EA33CE" w:rsidRDefault="00EA33CE" w:rsidP="00EA33CE">
      <w:pPr>
        <w:spacing w:after="150"/>
        <w:rPr>
          <w:rFonts w:asciiTheme="minorHAnsi" w:hAnsiTheme="minorHAnsi" w:cs="Calibri"/>
          <w:sz w:val="24"/>
          <w:szCs w:val="24"/>
        </w:rPr>
      </w:pPr>
      <w:r w:rsidRPr="00EA33CE">
        <w:rPr>
          <w:rFonts w:asciiTheme="minorHAnsi" w:hAnsiTheme="minorHAnsi" w:cs="Calibri"/>
          <w:sz w:val="24"/>
          <w:szCs w:val="24"/>
        </w:rPr>
        <w:t>Jako Administrator danych, zapewniamy prawo do:</w:t>
      </w:r>
    </w:p>
    <w:p w14:paraId="2743B866" w14:textId="77777777"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dostępu do danych osobowych Państwa dotyczących (na podstawie art. 15 RODO);</w:t>
      </w:r>
    </w:p>
    <w:p w14:paraId="6C05FB7E" w14:textId="77777777"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sprostowania Państwa danych osobowych (na podstawie art. 16 RODO) *;</w:t>
      </w:r>
    </w:p>
    <w:p w14:paraId="3C8DF3D4" w14:textId="77777777"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 xml:space="preserve">żądania od administratora ograniczenia przetwarzania danych osobowych z zastrzeżeniem przypadków, o których mowa w art. 18 ust. 2 RODO  (na podstawie art. 18 RODO)**;  </w:t>
      </w:r>
    </w:p>
    <w:p w14:paraId="2CCFEAF4" w14:textId="77777777"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wniesienia skargi do Prezesa Urzędu Ochrony Danych Osobowych, gdy uznają Państwo, że przetwarzanie danych osobowych Państwa dotyczących narusza przepisy RODO;</w:t>
      </w:r>
    </w:p>
    <w:p w14:paraId="3F754B70" w14:textId="77777777" w:rsidR="00EA33CE" w:rsidRPr="00EA33CE" w:rsidRDefault="00EA33CE" w:rsidP="00EA33CE">
      <w:pPr>
        <w:spacing w:after="150"/>
        <w:rPr>
          <w:rFonts w:asciiTheme="minorHAnsi" w:hAnsiTheme="minorHAnsi" w:cs="Calibri"/>
          <w:sz w:val="24"/>
          <w:szCs w:val="24"/>
        </w:rPr>
      </w:pPr>
      <w:r w:rsidRPr="00EA33CE">
        <w:rPr>
          <w:rFonts w:asciiTheme="minorHAnsi" w:hAnsiTheme="minorHAnsi" w:cs="Calibri"/>
          <w:sz w:val="24"/>
          <w:szCs w:val="24"/>
        </w:rPr>
        <w:t>Jednocześnie informujemy, iż nie przysługuje Państwu prawo do:</w:t>
      </w:r>
    </w:p>
    <w:p w14:paraId="11DBD564" w14:textId="77777777" w:rsidR="00EA33CE" w:rsidRPr="00EA33CE" w:rsidRDefault="00EA33CE" w:rsidP="00EA33CE">
      <w:pPr>
        <w:pStyle w:val="Akapitzlist"/>
        <w:numPr>
          <w:ilvl w:val="0"/>
          <w:numId w:val="26"/>
        </w:numPr>
        <w:spacing w:after="150"/>
        <w:rPr>
          <w:rFonts w:cs="Calibri"/>
          <w:sz w:val="24"/>
          <w:szCs w:val="24"/>
        </w:rPr>
      </w:pPr>
      <w:r w:rsidRPr="00EA33CE">
        <w:rPr>
          <w:rFonts w:cs="Calibri"/>
          <w:sz w:val="24"/>
          <w:szCs w:val="24"/>
        </w:rPr>
        <w:t>usunięcia danych osobowych w związku z art. 17 ust. 3 lit. b, d lub e RODO;</w:t>
      </w:r>
    </w:p>
    <w:p w14:paraId="39961EAB" w14:textId="77777777" w:rsidR="00EA33CE" w:rsidRPr="00EA33CE" w:rsidRDefault="00EA33CE" w:rsidP="00EA33CE">
      <w:pPr>
        <w:pStyle w:val="Akapitzlist"/>
        <w:numPr>
          <w:ilvl w:val="0"/>
          <w:numId w:val="26"/>
        </w:numPr>
        <w:spacing w:after="150"/>
        <w:rPr>
          <w:rFonts w:cs="Calibri"/>
          <w:sz w:val="24"/>
          <w:szCs w:val="24"/>
        </w:rPr>
      </w:pPr>
      <w:r w:rsidRPr="00EA33CE">
        <w:rPr>
          <w:rFonts w:cs="Calibri"/>
          <w:sz w:val="24"/>
          <w:szCs w:val="24"/>
        </w:rPr>
        <w:t>przenoszenia danych osobowych, o którym mowa w art. 20 RODO;</w:t>
      </w:r>
    </w:p>
    <w:p w14:paraId="4F234895" w14:textId="77777777" w:rsidR="00EA33CE" w:rsidRPr="00EA33CE" w:rsidRDefault="00EA33CE" w:rsidP="00EA33CE">
      <w:pPr>
        <w:pStyle w:val="Akapitzlist"/>
        <w:numPr>
          <w:ilvl w:val="0"/>
          <w:numId w:val="26"/>
        </w:numPr>
        <w:spacing w:after="150"/>
        <w:rPr>
          <w:rFonts w:cs="Calibri"/>
          <w:sz w:val="24"/>
          <w:szCs w:val="24"/>
        </w:rPr>
      </w:pPr>
      <w:r w:rsidRPr="00EA33CE">
        <w:rPr>
          <w:rFonts w:cs="Calibri"/>
          <w:sz w:val="24"/>
          <w:szCs w:val="24"/>
        </w:rPr>
        <w:lastRenderedPageBreak/>
        <w:t xml:space="preserve">prawo sprzeciwu wobec przetwarzania danych osobowych na podstawie art. 21 RODO, gdyż podstawą prawną przetwarzania Państwa danych osobowych jest art. 6 ust. 1 lit. c RODO. </w:t>
      </w:r>
    </w:p>
    <w:p w14:paraId="17A45A64" w14:textId="77777777" w:rsidR="00EA33CE" w:rsidRPr="00EA33CE" w:rsidRDefault="00EA33CE" w:rsidP="00EA33CE">
      <w:pPr>
        <w:pStyle w:val="Akapitzlist"/>
        <w:spacing w:after="150"/>
        <w:rPr>
          <w:rFonts w:cs="Calibri"/>
          <w:highlight w:val="yellow"/>
        </w:rPr>
      </w:pPr>
    </w:p>
    <w:p w14:paraId="172C7523" w14:textId="77777777" w:rsidR="00EA33CE" w:rsidRPr="00EA33CE" w:rsidRDefault="00EA33CE" w:rsidP="00EA33CE">
      <w:pPr>
        <w:pStyle w:val="Akapitzlist"/>
        <w:ind w:left="0"/>
        <w:jc w:val="both"/>
        <w:rPr>
          <w:rFonts w:cs="Calibri"/>
          <w:sz w:val="18"/>
        </w:rPr>
      </w:pPr>
      <w:r w:rsidRPr="00EA33CE">
        <w:rPr>
          <w:rFonts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EA33CE">
        <w:rPr>
          <w:rFonts w:cs="Calibri"/>
          <w:sz w:val="18"/>
        </w:rPr>
        <w:t>Pzp</w:t>
      </w:r>
      <w:proofErr w:type="spellEnd"/>
      <w:r w:rsidRPr="00EA33CE">
        <w:rPr>
          <w:rFonts w:cs="Calibri"/>
          <w:sz w:val="18"/>
        </w:rPr>
        <w:t xml:space="preserve"> oraz nie może naruszać integralności protokołu oraz jego załączników.</w:t>
      </w:r>
    </w:p>
    <w:p w14:paraId="1F968C25" w14:textId="77777777" w:rsidR="00EA33CE" w:rsidRPr="00EA33CE" w:rsidRDefault="00EA33CE" w:rsidP="00EA33CE">
      <w:pPr>
        <w:pStyle w:val="Akapitzlist"/>
        <w:ind w:left="0"/>
        <w:jc w:val="both"/>
        <w:rPr>
          <w:rFonts w:cs="Calibri"/>
          <w:sz w:val="18"/>
        </w:rPr>
      </w:pPr>
      <w:r w:rsidRPr="00EA33CE">
        <w:rPr>
          <w:rFonts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D8B2568" w14:textId="77777777" w:rsidR="00EA33CE" w:rsidRPr="00EA33CE" w:rsidRDefault="00EA33CE" w:rsidP="00EA33CE">
      <w:pPr>
        <w:contextualSpacing/>
        <w:jc w:val="both"/>
        <w:rPr>
          <w:rFonts w:asciiTheme="minorHAnsi" w:eastAsia="Times New Roman" w:hAnsiTheme="minorHAnsi" w:cs="Times New Roman"/>
          <w:sz w:val="24"/>
          <w:szCs w:val="24"/>
          <w:lang w:eastAsia="pl-PL"/>
        </w:rPr>
      </w:pPr>
    </w:p>
    <w:p w14:paraId="0E26E8F1"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Tryb udzielenia zamówienia publicznego</w:t>
      </w:r>
    </w:p>
    <w:p w14:paraId="05C3173B" w14:textId="715FF387" w:rsidR="00EA33CE" w:rsidRPr="00EA33CE" w:rsidRDefault="00EA33CE" w:rsidP="00EA33CE">
      <w:pPr>
        <w:numPr>
          <w:ilvl w:val="0"/>
          <w:numId w:val="3"/>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Postępowanie prowadzone jest w trybie przetargu nieograniczonego na podstawie art. 10 ust. 1 w związku z art. 39 ustawy z dnia 29 stycznia 2004 r. Prawo zamówień publicznych (tj. Dz. U. z 201</w:t>
      </w:r>
      <w:r w:rsidR="00CD4B0C">
        <w:rPr>
          <w:rFonts w:asciiTheme="minorHAnsi" w:eastAsia="Times New Roman" w:hAnsiTheme="minorHAnsi" w:cs="Times New Roman"/>
          <w:sz w:val="24"/>
          <w:szCs w:val="24"/>
          <w:lang w:eastAsia="pl-PL"/>
        </w:rPr>
        <w:t>9</w:t>
      </w:r>
      <w:r w:rsidRPr="00EA33CE">
        <w:rPr>
          <w:rFonts w:asciiTheme="minorHAnsi" w:eastAsia="Times New Roman" w:hAnsiTheme="minorHAnsi" w:cs="Times New Roman"/>
          <w:sz w:val="24"/>
          <w:szCs w:val="24"/>
          <w:lang w:eastAsia="pl-PL"/>
        </w:rPr>
        <w:t xml:space="preserve"> r., poz. 1</w:t>
      </w:r>
      <w:r w:rsidR="00CD4B0C">
        <w:rPr>
          <w:rFonts w:asciiTheme="minorHAnsi" w:eastAsia="Times New Roman" w:hAnsiTheme="minorHAnsi" w:cs="Times New Roman"/>
          <w:sz w:val="24"/>
          <w:szCs w:val="24"/>
          <w:lang w:eastAsia="pl-PL"/>
        </w:rPr>
        <w:t>843</w:t>
      </w:r>
      <w:r w:rsidRPr="00EA33CE">
        <w:rPr>
          <w:rFonts w:asciiTheme="minorHAnsi" w:eastAsia="Times New Roman" w:hAnsiTheme="minorHAnsi" w:cs="Times New Roman"/>
          <w:sz w:val="24"/>
          <w:szCs w:val="24"/>
          <w:lang w:eastAsia="pl-PL"/>
        </w:rPr>
        <w:t xml:space="preserve">), zwanej dalej ustawą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o wartości zamówienia przekraczającej kwoty określonej w przepisach wydanych na podstawie art. 11 ust. 8 ww.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14:paraId="285EF652" w14:textId="77777777" w:rsidR="00EA33CE" w:rsidRPr="00EA33CE" w:rsidRDefault="00EA33CE" w:rsidP="00EA33C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Postępowanie jest dofinansowane z </w:t>
      </w:r>
      <w:r w:rsidRPr="00EA33CE">
        <w:rPr>
          <w:rFonts w:asciiTheme="minorHAnsi" w:hAnsiTheme="minorHAnsi"/>
          <w:b/>
          <w:sz w:val="24"/>
          <w:szCs w:val="24"/>
        </w:rPr>
        <w:t>Wielkopolskiego Regionalnego Programu Operacyjnego</w:t>
      </w:r>
      <w:r w:rsidRPr="00EA33CE">
        <w:rPr>
          <w:rFonts w:asciiTheme="minorHAnsi" w:hAnsiTheme="minorHAnsi"/>
          <w:sz w:val="24"/>
          <w:szCs w:val="24"/>
        </w:rPr>
        <w:t xml:space="preserve"> </w:t>
      </w:r>
      <w:r w:rsidRPr="00EA33CE">
        <w:rPr>
          <w:rFonts w:asciiTheme="minorHAnsi" w:eastAsia="Times New Roman" w:hAnsiTheme="minorHAnsi" w:cstheme="minorHAnsi"/>
          <w:sz w:val="24"/>
          <w:szCs w:val="24"/>
          <w:lang w:eastAsia="pl-PL"/>
        </w:rPr>
        <w:t xml:space="preserve">w ramach projektu o numerze umowy </w:t>
      </w:r>
      <w:r w:rsidRPr="00EA33CE">
        <w:rPr>
          <w:rFonts w:asciiTheme="minorHAnsi" w:hAnsiTheme="minorHAnsi"/>
          <w:b/>
          <w:sz w:val="24"/>
          <w:szCs w:val="24"/>
        </w:rPr>
        <w:t>RPWP.01.01.00-30-0003/17</w:t>
      </w:r>
    </w:p>
    <w:p w14:paraId="5E1C70FE" w14:textId="77777777" w:rsidR="00EA33CE" w:rsidRPr="00EA33CE" w:rsidRDefault="00EA33CE" w:rsidP="00EA33CE">
      <w:pPr>
        <w:numPr>
          <w:ilvl w:val="0"/>
          <w:numId w:val="3"/>
        </w:numPr>
        <w:spacing w:line="240" w:lineRule="auto"/>
        <w:ind w:left="426" w:hanging="426"/>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EA33CE">
        <w:rPr>
          <w:rFonts w:asciiTheme="minorHAnsi" w:eastAsia="Times New Roman" w:hAnsiTheme="minorHAnsi" w:cs="Times New Roman"/>
          <w:color w:val="000000" w:themeColor="text1"/>
          <w:sz w:val="24"/>
          <w:szCs w:val="24"/>
          <w:lang w:eastAsia="pl-PL"/>
        </w:rPr>
        <w:t xml:space="preserve">(art. 24aa ustawy </w:t>
      </w:r>
      <w:proofErr w:type="spellStart"/>
      <w:r w:rsidRPr="00EA33CE">
        <w:rPr>
          <w:rFonts w:asciiTheme="minorHAnsi" w:eastAsia="Times New Roman" w:hAnsiTheme="minorHAnsi" w:cs="Times New Roman"/>
          <w:color w:val="000000" w:themeColor="text1"/>
          <w:sz w:val="24"/>
          <w:szCs w:val="24"/>
          <w:lang w:eastAsia="pl-PL"/>
        </w:rPr>
        <w:t>Pzp</w:t>
      </w:r>
      <w:proofErr w:type="spellEnd"/>
      <w:r w:rsidRPr="00EA33CE">
        <w:rPr>
          <w:rFonts w:asciiTheme="minorHAnsi" w:eastAsia="Times New Roman" w:hAnsiTheme="minorHAnsi" w:cs="Times New Roman"/>
          <w:color w:val="000000" w:themeColor="text1"/>
          <w:sz w:val="24"/>
          <w:szCs w:val="24"/>
          <w:lang w:eastAsia="pl-PL"/>
        </w:rPr>
        <w:t>).</w:t>
      </w:r>
    </w:p>
    <w:p w14:paraId="0427ABE0" w14:textId="77777777" w:rsidR="00EA33CE" w:rsidRPr="00CD4B0C" w:rsidRDefault="00EA33CE" w:rsidP="00EA33C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CD4B0C">
        <w:rPr>
          <w:rFonts w:asciiTheme="minorHAnsi" w:eastAsia="Times New Roman" w:hAnsiTheme="minorHAnsi" w:cs="Times New Roman"/>
          <w:color w:val="000000" w:themeColor="text1"/>
          <w:sz w:val="24"/>
          <w:szCs w:val="24"/>
          <w:lang w:eastAsia="pl-PL"/>
        </w:rPr>
        <w:t xml:space="preserve">Rodzaj przedmiotu </w:t>
      </w:r>
      <w:r w:rsidRPr="00CD4B0C">
        <w:rPr>
          <w:rFonts w:asciiTheme="minorHAnsi" w:eastAsia="Times New Roman" w:hAnsiTheme="minorHAnsi" w:cstheme="minorHAnsi"/>
          <w:color w:val="000000" w:themeColor="text1"/>
          <w:sz w:val="24"/>
          <w:szCs w:val="24"/>
          <w:lang w:eastAsia="pl-PL"/>
        </w:rPr>
        <w:t xml:space="preserve">zamówienia: </w:t>
      </w:r>
      <w:r w:rsidRPr="00CD4B0C">
        <w:rPr>
          <w:rFonts w:asciiTheme="minorHAnsi" w:eastAsia="Times New Roman" w:hAnsiTheme="minorHAnsi" w:cstheme="minorHAnsi"/>
          <w:b/>
          <w:color w:val="000000" w:themeColor="text1"/>
          <w:sz w:val="24"/>
          <w:szCs w:val="24"/>
          <w:lang w:eastAsia="pl-PL"/>
        </w:rPr>
        <w:t>dostawa</w:t>
      </w:r>
      <w:r w:rsidRPr="00CD4B0C">
        <w:rPr>
          <w:rFonts w:asciiTheme="minorHAnsi" w:eastAsia="Times New Roman" w:hAnsiTheme="minorHAnsi" w:cstheme="minorHAnsi"/>
          <w:color w:val="000000" w:themeColor="text1"/>
          <w:sz w:val="24"/>
          <w:szCs w:val="24"/>
          <w:lang w:eastAsia="pl-PL"/>
        </w:rPr>
        <w:t>.</w:t>
      </w:r>
    </w:p>
    <w:p w14:paraId="00F95D90" w14:textId="77777777" w:rsidR="00EA33CE" w:rsidRPr="00CD4B0C" w:rsidRDefault="00EA33CE" w:rsidP="00EA33CE">
      <w:pPr>
        <w:contextualSpacing/>
        <w:jc w:val="both"/>
        <w:rPr>
          <w:rFonts w:asciiTheme="minorHAnsi" w:eastAsia="Times New Roman" w:hAnsiTheme="minorHAnsi" w:cs="Times New Roman"/>
          <w:color w:val="000000" w:themeColor="text1"/>
          <w:sz w:val="24"/>
          <w:szCs w:val="24"/>
          <w:lang w:eastAsia="pl-PL"/>
        </w:rPr>
      </w:pPr>
    </w:p>
    <w:p w14:paraId="7986FEBA" w14:textId="77777777" w:rsidR="00EA33CE" w:rsidRPr="00CD4B0C"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color w:val="000000" w:themeColor="text1"/>
          <w:sz w:val="24"/>
          <w:szCs w:val="24"/>
          <w:lang w:eastAsia="pl-PL"/>
        </w:rPr>
      </w:pPr>
      <w:r w:rsidRPr="00CD4B0C">
        <w:rPr>
          <w:rFonts w:asciiTheme="minorHAnsi" w:eastAsia="Times New Roman" w:hAnsiTheme="minorHAnsi" w:cs="Times New Roman"/>
          <w:b/>
          <w:color w:val="000000" w:themeColor="text1"/>
          <w:sz w:val="24"/>
          <w:szCs w:val="24"/>
          <w:lang w:eastAsia="pl-PL"/>
        </w:rPr>
        <w:t>Opis przedmiotu zamówienia</w:t>
      </w:r>
    </w:p>
    <w:p w14:paraId="4AE72639" w14:textId="77777777" w:rsidR="00EA33CE" w:rsidRPr="00CD4B0C" w:rsidRDefault="00EA33CE" w:rsidP="00EA33CE">
      <w:pPr>
        <w:widowControl w:val="0"/>
        <w:autoSpaceDE w:val="0"/>
        <w:autoSpaceDN w:val="0"/>
        <w:adjustRightInd w:val="0"/>
        <w:spacing w:line="240" w:lineRule="auto"/>
        <w:jc w:val="both"/>
        <w:rPr>
          <w:rFonts w:asciiTheme="minorHAnsi" w:hAnsiTheme="minorHAnsi" w:cstheme="minorHAnsi"/>
          <w:sz w:val="24"/>
          <w:szCs w:val="24"/>
        </w:rPr>
      </w:pPr>
      <w:r w:rsidRPr="00CD4B0C">
        <w:rPr>
          <w:rFonts w:asciiTheme="minorHAnsi" w:hAnsiTheme="minorHAnsi" w:cstheme="minorHAnsi"/>
          <w:sz w:val="24"/>
          <w:szCs w:val="24"/>
        </w:rPr>
        <w:t xml:space="preserve">Przedmiotem zamówienia jest </w:t>
      </w:r>
      <w:r w:rsidR="00BF654E" w:rsidRPr="00CD4B0C">
        <w:rPr>
          <w:rFonts w:asciiTheme="minorHAnsi" w:hAnsiTheme="minorHAnsi" w:cstheme="minorHAnsi"/>
          <w:sz w:val="24"/>
        </w:rPr>
        <w:t>system wibracyjny/udarowy</w:t>
      </w:r>
      <w:r w:rsidR="00BF654E" w:rsidRPr="00CD4B0C">
        <w:rPr>
          <w:rFonts w:asciiTheme="minorHAnsi" w:hAnsiTheme="minorHAnsi" w:cstheme="minorHAnsi"/>
          <w:sz w:val="24"/>
          <w:szCs w:val="24"/>
        </w:rPr>
        <w:t>, zwany</w:t>
      </w:r>
      <w:r w:rsidRPr="00CD4B0C">
        <w:rPr>
          <w:rFonts w:asciiTheme="minorHAnsi" w:hAnsiTheme="minorHAnsi" w:cstheme="minorHAnsi"/>
          <w:sz w:val="24"/>
          <w:szCs w:val="24"/>
        </w:rPr>
        <w:t xml:space="preserve"> w dalszej części SIWZ Stanowiskiem. </w:t>
      </w:r>
    </w:p>
    <w:p w14:paraId="20B23971" w14:textId="2145F19F" w:rsidR="00BF654E" w:rsidRPr="007A7C97" w:rsidRDefault="00BF654E" w:rsidP="00BF654E">
      <w:pPr>
        <w:jc w:val="both"/>
        <w:rPr>
          <w:rFonts w:asciiTheme="minorHAnsi" w:hAnsiTheme="minorHAnsi" w:cstheme="minorHAnsi"/>
          <w:sz w:val="24"/>
        </w:rPr>
      </w:pPr>
      <w:r w:rsidRPr="00CD4B0C">
        <w:rPr>
          <w:rFonts w:asciiTheme="minorHAnsi" w:hAnsiTheme="minorHAnsi" w:cstheme="minorHAnsi"/>
          <w:sz w:val="24"/>
          <w:szCs w:val="24"/>
        </w:rPr>
        <w:t>Opis</w:t>
      </w:r>
      <w:r w:rsidR="00EA33CE" w:rsidRPr="00CD4B0C">
        <w:rPr>
          <w:rFonts w:asciiTheme="minorHAnsi" w:hAnsiTheme="minorHAnsi" w:cstheme="minorHAnsi"/>
          <w:sz w:val="24"/>
          <w:szCs w:val="24"/>
        </w:rPr>
        <w:t xml:space="preserve"> Stanowska: </w:t>
      </w:r>
      <w:r w:rsidRPr="00CD4B0C">
        <w:rPr>
          <w:rFonts w:asciiTheme="minorHAnsi" w:hAnsiTheme="minorHAnsi" w:cstheme="minorHAnsi"/>
          <w:sz w:val="24"/>
        </w:rPr>
        <w:t xml:space="preserve">System wibracyjny pozwalający na wykonywanie testów mechanicznych przy użyciu sygnałów przynajmniej typu: sinus przemiatanie (sine </w:t>
      </w:r>
      <w:proofErr w:type="spellStart"/>
      <w:r w:rsidRPr="00CD4B0C">
        <w:rPr>
          <w:rFonts w:asciiTheme="minorHAnsi" w:hAnsiTheme="minorHAnsi" w:cstheme="minorHAnsi"/>
          <w:sz w:val="24"/>
        </w:rPr>
        <w:t>sweep</w:t>
      </w:r>
      <w:proofErr w:type="spellEnd"/>
      <w:r w:rsidRPr="00CD4B0C">
        <w:rPr>
          <w:rFonts w:asciiTheme="minorHAnsi" w:hAnsiTheme="minorHAnsi" w:cstheme="minorHAnsi"/>
          <w:sz w:val="24"/>
        </w:rPr>
        <w:t>), losowy (</w:t>
      </w:r>
      <w:proofErr w:type="spellStart"/>
      <w:r w:rsidRPr="00CD4B0C">
        <w:rPr>
          <w:rFonts w:asciiTheme="minorHAnsi" w:hAnsiTheme="minorHAnsi" w:cstheme="minorHAnsi"/>
          <w:sz w:val="24"/>
        </w:rPr>
        <w:t>random</w:t>
      </w:r>
      <w:proofErr w:type="spellEnd"/>
      <w:r w:rsidRPr="00CD4B0C">
        <w:rPr>
          <w:rFonts w:asciiTheme="minorHAnsi" w:hAnsiTheme="minorHAnsi" w:cstheme="minorHAnsi"/>
          <w:sz w:val="24"/>
        </w:rPr>
        <w:t>), udary (</w:t>
      </w:r>
      <w:proofErr w:type="spellStart"/>
      <w:r w:rsidRPr="00CD4B0C">
        <w:rPr>
          <w:rFonts w:asciiTheme="minorHAnsi" w:hAnsiTheme="minorHAnsi" w:cstheme="minorHAnsi"/>
          <w:sz w:val="24"/>
        </w:rPr>
        <w:t>schock</w:t>
      </w:r>
      <w:proofErr w:type="spellEnd"/>
      <w:r w:rsidRPr="00CD4B0C">
        <w:rPr>
          <w:rFonts w:asciiTheme="minorHAnsi" w:hAnsiTheme="minorHAnsi" w:cstheme="minorHAnsi"/>
          <w:sz w:val="24"/>
        </w:rPr>
        <w:t xml:space="preserve">), </w:t>
      </w:r>
      <w:r w:rsidRPr="007A7C97">
        <w:rPr>
          <w:rFonts w:asciiTheme="minorHAnsi" w:hAnsiTheme="minorHAnsi" w:cstheme="minorHAnsi"/>
          <w:sz w:val="24"/>
        </w:rPr>
        <w:t>przemiatanie w rezonansie (</w:t>
      </w:r>
      <w:proofErr w:type="spellStart"/>
      <w:r w:rsidRPr="007A7C97">
        <w:rPr>
          <w:rFonts w:asciiTheme="minorHAnsi" w:hAnsiTheme="minorHAnsi" w:cstheme="minorHAnsi"/>
          <w:sz w:val="24"/>
        </w:rPr>
        <w:t>resonance</w:t>
      </w:r>
      <w:proofErr w:type="spellEnd"/>
      <w:r w:rsidRPr="007A7C97">
        <w:rPr>
          <w:rFonts w:asciiTheme="minorHAnsi" w:hAnsiTheme="minorHAnsi" w:cstheme="minorHAnsi"/>
          <w:sz w:val="24"/>
        </w:rPr>
        <w:t xml:space="preserve"> </w:t>
      </w:r>
      <w:proofErr w:type="spellStart"/>
      <w:r w:rsidRPr="007A7C97">
        <w:rPr>
          <w:rFonts w:asciiTheme="minorHAnsi" w:hAnsiTheme="minorHAnsi" w:cstheme="minorHAnsi"/>
          <w:sz w:val="24"/>
        </w:rPr>
        <w:t>search</w:t>
      </w:r>
      <w:proofErr w:type="spellEnd"/>
      <w:r w:rsidRPr="007A7C97">
        <w:rPr>
          <w:rFonts w:asciiTheme="minorHAnsi" w:hAnsiTheme="minorHAnsi" w:cstheme="minorHAnsi"/>
          <w:sz w:val="24"/>
        </w:rPr>
        <w:t xml:space="preserve"> and </w:t>
      </w:r>
      <w:proofErr w:type="spellStart"/>
      <w:r w:rsidRPr="007A7C97">
        <w:rPr>
          <w:rFonts w:asciiTheme="minorHAnsi" w:hAnsiTheme="minorHAnsi" w:cstheme="minorHAnsi"/>
          <w:sz w:val="24"/>
        </w:rPr>
        <w:t>dwell</w:t>
      </w:r>
      <w:proofErr w:type="spellEnd"/>
      <w:r w:rsidRPr="007A7C97">
        <w:rPr>
          <w:rFonts w:asciiTheme="minorHAnsi" w:hAnsiTheme="minorHAnsi" w:cstheme="minorHAnsi"/>
          <w:sz w:val="24"/>
        </w:rPr>
        <w:t>). System powinien pozwalać na poddanie badani</w:t>
      </w:r>
      <w:r w:rsidR="00232DEE" w:rsidRPr="007A7C97">
        <w:rPr>
          <w:rFonts w:asciiTheme="minorHAnsi" w:hAnsiTheme="minorHAnsi" w:cstheme="minorHAnsi"/>
          <w:sz w:val="24"/>
        </w:rPr>
        <w:t>om próbek o masie 15</w:t>
      </w:r>
      <w:r w:rsidRPr="007A7C97">
        <w:rPr>
          <w:rFonts w:asciiTheme="minorHAnsi" w:hAnsiTheme="minorHAnsi" w:cstheme="minorHAnsi"/>
          <w:sz w:val="24"/>
        </w:rPr>
        <w:t>0 kg zgodnie z metodami opisanymi w:</w:t>
      </w:r>
    </w:p>
    <w:p w14:paraId="70AD1E0C" w14:textId="3B5EB6A0" w:rsidR="007A7C97" w:rsidRPr="007A7C97" w:rsidRDefault="007A7C97" w:rsidP="007A7C97">
      <w:pPr>
        <w:pStyle w:val="Akapitzlist"/>
        <w:numPr>
          <w:ilvl w:val="0"/>
          <w:numId w:val="30"/>
        </w:numPr>
        <w:jc w:val="both"/>
        <w:rPr>
          <w:rFonts w:cstheme="minorHAnsi"/>
          <w:sz w:val="24"/>
        </w:rPr>
      </w:pPr>
      <w:r w:rsidRPr="007A7C97">
        <w:rPr>
          <w:rFonts w:cstheme="minorHAnsi"/>
          <w:sz w:val="24"/>
        </w:rPr>
        <w:t xml:space="preserve">Regulaminie nr 100 Europejskiej Komisji Gospodarczej Organizacji Narodów Zjednoczonych (EKG ONZ) – Jednolite przepisy dotyczące homologacji pojazdów w zakresie szczególnych wymagań dotyczących elektrycznego układu napędowego [2015/505]  - procedury badań REESS: 8A Badanie wibracyjne. </w:t>
      </w:r>
    </w:p>
    <w:p w14:paraId="24D1A6BD" w14:textId="07F58AD7" w:rsidR="00BF654E" w:rsidRPr="00CD4B0C" w:rsidRDefault="00BF654E" w:rsidP="00BF654E">
      <w:pPr>
        <w:pStyle w:val="Akapitzlist"/>
        <w:numPr>
          <w:ilvl w:val="0"/>
          <w:numId w:val="30"/>
        </w:numPr>
        <w:jc w:val="both"/>
        <w:rPr>
          <w:rFonts w:cstheme="minorHAnsi"/>
          <w:sz w:val="24"/>
        </w:rPr>
      </w:pPr>
      <w:r w:rsidRPr="007A7C97">
        <w:rPr>
          <w:rFonts w:cstheme="minorHAnsi"/>
          <w:sz w:val="24"/>
        </w:rPr>
        <w:t>Zalecenia</w:t>
      </w:r>
      <w:r w:rsidR="00CD4B0C" w:rsidRPr="007A7C97">
        <w:rPr>
          <w:rFonts w:cstheme="minorHAnsi"/>
          <w:sz w:val="24"/>
        </w:rPr>
        <w:t>ch ONZ</w:t>
      </w:r>
      <w:r w:rsidR="00CD4B0C" w:rsidRPr="00CD4B0C">
        <w:rPr>
          <w:rFonts w:cstheme="minorHAnsi"/>
          <w:sz w:val="24"/>
        </w:rPr>
        <w:t xml:space="preserve"> dotyczących</w:t>
      </w:r>
      <w:r w:rsidRPr="00CD4B0C">
        <w:rPr>
          <w:rFonts w:cstheme="minorHAnsi"/>
          <w:sz w:val="24"/>
        </w:rPr>
        <w:t xml:space="preserve"> transportu towarów niebezpiecznych. Podręcznik badań i kryteria. Wydanie 6, 1 poprawka do wydania 6 – Badanie T.3 Wibracje, Badanie T.4 Wstrząsy mechaniczne.</w:t>
      </w:r>
    </w:p>
    <w:p w14:paraId="19F66B11" w14:textId="77777777" w:rsidR="00BF654E" w:rsidRPr="00ED4161" w:rsidRDefault="00BF654E" w:rsidP="00BF654E">
      <w:pPr>
        <w:jc w:val="both"/>
        <w:rPr>
          <w:rFonts w:asciiTheme="minorHAnsi" w:hAnsiTheme="minorHAnsi" w:cstheme="minorHAnsi"/>
          <w:sz w:val="24"/>
        </w:rPr>
      </w:pPr>
      <w:r w:rsidRPr="00ED4161">
        <w:rPr>
          <w:rFonts w:asciiTheme="minorHAnsi" w:hAnsiTheme="minorHAnsi" w:cstheme="minorHAnsi"/>
          <w:sz w:val="24"/>
        </w:rPr>
        <w:lastRenderedPageBreak/>
        <w:t>Dopuszcza się dostarczenie osobno systemu wibracyjnego i systemu udarowego.</w:t>
      </w:r>
    </w:p>
    <w:p w14:paraId="22F353F1" w14:textId="77777777" w:rsidR="00CD4B0C" w:rsidRPr="00ED4161" w:rsidRDefault="00CD4B0C" w:rsidP="00EA33CE">
      <w:pPr>
        <w:widowControl w:val="0"/>
        <w:autoSpaceDE w:val="0"/>
        <w:autoSpaceDN w:val="0"/>
        <w:adjustRightInd w:val="0"/>
        <w:spacing w:line="240" w:lineRule="auto"/>
        <w:jc w:val="both"/>
        <w:rPr>
          <w:rFonts w:asciiTheme="minorHAnsi" w:hAnsiTheme="minorHAnsi" w:cstheme="minorHAnsi"/>
          <w:b/>
          <w:sz w:val="24"/>
          <w:szCs w:val="24"/>
        </w:rPr>
      </w:pPr>
    </w:p>
    <w:p w14:paraId="1D762CD1" w14:textId="71DC13DF" w:rsidR="00EA33CE" w:rsidRPr="00ED4161" w:rsidRDefault="00EA33CE" w:rsidP="00EA33CE">
      <w:pPr>
        <w:widowControl w:val="0"/>
        <w:autoSpaceDE w:val="0"/>
        <w:autoSpaceDN w:val="0"/>
        <w:adjustRightInd w:val="0"/>
        <w:spacing w:line="240" w:lineRule="auto"/>
        <w:jc w:val="both"/>
        <w:rPr>
          <w:rFonts w:asciiTheme="minorHAnsi" w:hAnsiTheme="minorHAnsi" w:cstheme="minorHAnsi"/>
          <w:sz w:val="24"/>
          <w:szCs w:val="24"/>
        </w:rPr>
      </w:pPr>
      <w:r w:rsidRPr="00ED4161">
        <w:rPr>
          <w:rFonts w:asciiTheme="minorHAnsi" w:hAnsiTheme="minorHAnsi" w:cstheme="minorHAnsi"/>
          <w:b/>
          <w:sz w:val="24"/>
          <w:szCs w:val="24"/>
        </w:rPr>
        <w:t xml:space="preserve">Stanowisko powinno zawierać: </w:t>
      </w:r>
    </w:p>
    <w:p w14:paraId="59A205E5" w14:textId="473B351B" w:rsidR="00BF654E" w:rsidRPr="00ED4161" w:rsidRDefault="00BF654E" w:rsidP="00BF654E">
      <w:pPr>
        <w:numPr>
          <w:ilvl w:val="0"/>
          <w:numId w:val="27"/>
        </w:numPr>
        <w:jc w:val="both"/>
        <w:rPr>
          <w:rFonts w:asciiTheme="minorHAnsi" w:hAnsiTheme="minorHAnsi" w:cstheme="minorHAnsi"/>
          <w:sz w:val="24"/>
        </w:rPr>
      </w:pPr>
      <w:r w:rsidRPr="00ED4161">
        <w:rPr>
          <w:rFonts w:asciiTheme="minorHAnsi" w:hAnsiTheme="minorHAnsi" w:cstheme="minorHAnsi"/>
          <w:sz w:val="24"/>
        </w:rPr>
        <w:t>Elektrodynamiczny wzbudnik drgań z kontrolerem i przechylaną kołyską przystosowany do pracy w 3 osiach,</w:t>
      </w:r>
      <w:r w:rsidR="00C25DDC" w:rsidRPr="00ED4161">
        <w:rPr>
          <w:rFonts w:asciiTheme="minorHAnsi" w:hAnsiTheme="minorHAnsi" w:cstheme="minorHAnsi"/>
          <w:sz w:val="24"/>
        </w:rPr>
        <w:t xml:space="preserve"> 50-60 </w:t>
      </w:r>
      <w:proofErr w:type="spellStart"/>
      <w:r w:rsidR="00C25DDC" w:rsidRPr="00ED4161">
        <w:rPr>
          <w:rFonts w:asciiTheme="minorHAnsi" w:hAnsiTheme="minorHAnsi" w:cstheme="minorHAnsi"/>
          <w:sz w:val="24"/>
        </w:rPr>
        <w:t>kN</w:t>
      </w:r>
      <w:proofErr w:type="spellEnd"/>
    </w:p>
    <w:p w14:paraId="37C91655" w14:textId="392E769B" w:rsidR="00BF654E" w:rsidRPr="00ED4161" w:rsidRDefault="003D19C5" w:rsidP="00BF654E">
      <w:pPr>
        <w:numPr>
          <w:ilvl w:val="0"/>
          <w:numId w:val="27"/>
        </w:numPr>
        <w:jc w:val="both"/>
        <w:rPr>
          <w:rFonts w:asciiTheme="minorHAnsi" w:hAnsiTheme="minorHAnsi" w:cstheme="minorHAnsi"/>
          <w:sz w:val="24"/>
        </w:rPr>
      </w:pPr>
      <w:r w:rsidRPr="00ED4161">
        <w:rPr>
          <w:rFonts w:asciiTheme="minorHAnsi" w:hAnsiTheme="minorHAnsi" w:cstheme="minorHAnsi"/>
          <w:sz w:val="24"/>
        </w:rPr>
        <w:t>Stół ślizgowy o wymiarach 15</w:t>
      </w:r>
      <w:r w:rsidR="00BF654E" w:rsidRPr="00ED4161">
        <w:rPr>
          <w:rFonts w:asciiTheme="minorHAnsi" w:hAnsiTheme="minorHAnsi" w:cstheme="minorHAnsi"/>
          <w:sz w:val="24"/>
        </w:rPr>
        <w:t>00 mm x 1500 mm,</w:t>
      </w:r>
    </w:p>
    <w:p w14:paraId="386A832F" w14:textId="0B463571" w:rsidR="00BF654E" w:rsidRPr="00ED4161" w:rsidRDefault="003D19C5" w:rsidP="00BF654E">
      <w:pPr>
        <w:numPr>
          <w:ilvl w:val="0"/>
          <w:numId w:val="27"/>
        </w:numPr>
        <w:jc w:val="both"/>
        <w:rPr>
          <w:rFonts w:asciiTheme="minorHAnsi" w:hAnsiTheme="minorHAnsi" w:cstheme="minorHAnsi"/>
          <w:sz w:val="24"/>
          <w:lang w:val="en-US"/>
        </w:rPr>
      </w:pPr>
      <w:r w:rsidRPr="00ED4161">
        <w:rPr>
          <w:rFonts w:asciiTheme="minorHAnsi" w:hAnsiTheme="minorHAnsi" w:cstheme="minorHAnsi"/>
          <w:sz w:val="24"/>
          <w:lang w:val="en-US"/>
        </w:rPr>
        <w:t xml:space="preserve">Head expander o </w:t>
      </w:r>
      <w:proofErr w:type="spellStart"/>
      <w:r w:rsidRPr="00ED4161">
        <w:rPr>
          <w:rFonts w:asciiTheme="minorHAnsi" w:hAnsiTheme="minorHAnsi" w:cstheme="minorHAnsi"/>
          <w:sz w:val="24"/>
          <w:lang w:val="en-US"/>
        </w:rPr>
        <w:t>wymiarach</w:t>
      </w:r>
      <w:proofErr w:type="spellEnd"/>
      <w:r w:rsidRPr="00ED4161">
        <w:rPr>
          <w:rFonts w:asciiTheme="minorHAnsi" w:hAnsiTheme="minorHAnsi" w:cstheme="minorHAnsi"/>
          <w:sz w:val="24"/>
          <w:lang w:val="en-US"/>
        </w:rPr>
        <w:t xml:space="preserve"> 15</w:t>
      </w:r>
      <w:r w:rsidR="00BF654E" w:rsidRPr="00ED4161">
        <w:rPr>
          <w:rFonts w:asciiTheme="minorHAnsi" w:hAnsiTheme="minorHAnsi" w:cstheme="minorHAnsi"/>
          <w:sz w:val="24"/>
          <w:lang w:val="en-US"/>
        </w:rPr>
        <w:t>00 mm x 1500 mm,</w:t>
      </w:r>
    </w:p>
    <w:p w14:paraId="693786C7" w14:textId="77777777" w:rsidR="00BF654E" w:rsidRPr="00ED4161" w:rsidRDefault="00BF654E" w:rsidP="00BF654E">
      <w:pPr>
        <w:numPr>
          <w:ilvl w:val="0"/>
          <w:numId w:val="27"/>
        </w:numPr>
        <w:jc w:val="both"/>
        <w:rPr>
          <w:rFonts w:asciiTheme="minorHAnsi" w:hAnsiTheme="minorHAnsi" w:cstheme="minorHAnsi"/>
          <w:sz w:val="24"/>
        </w:rPr>
      </w:pPr>
      <w:r w:rsidRPr="00ED4161">
        <w:rPr>
          <w:rFonts w:asciiTheme="minorHAnsi" w:hAnsiTheme="minorHAnsi" w:cstheme="minorHAnsi"/>
          <w:sz w:val="24"/>
        </w:rPr>
        <w:t>Wzmacniacz,</w:t>
      </w:r>
    </w:p>
    <w:p w14:paraId="123A5EEE" w14:textId="77777777" w:rsidR="00BF654E" w:rsidRPr="00ED4161" w:rsidRDefault="00BF654E" w:rsidP="00BF654E">
      <w:pPr>
        <w:numPr>
          <w:ilvl w:val="0"/>
          <w:numId w:val="27"/>
        </w:numPr>
        <w:jc w:val="both"/>
        <w:rPr>
          <w:rFonts w:asciiTheme="minorHAnsi" w:hAnsiTheme="minorHAnsi" w:cstheme="minorHAnsi"/>
          <w:sz w:val="24"/>
        </w:rPr>
      </w:pPr>
      <w:r w:rsidRPr="00ED4161">
        <w:rPr>
          <w:rFonts w:asciiTheme="minorHAnsi" w:hAnsiTheme="minorHAnsi" w:cstheme="minorHAnsi"/>
          <w:sz w:val="24"/>
        </w:rPr>
        <w:t>Układ chłodzący,</w:t>
      </w:r>
    </w:p>
    <w:p w14:paraId="645893BF" w14:textId="77777777" w:rsidR="00BF654E" w:rsidRPr="00ED4161" w:rsidRDefault="00BF654E" w:rsidP="00BF654E">
      <w:pPr>
        <w:numPr>
          <w:ilvl w:val="0"/>
          <w:numId w:val="27"/>
        </w:numPr>
        <w:jc w:val="both"/>
        <w:rPr>
          <w:rFonts w:asciiTheme="minorHAnsi" w:hAnsiTheme="minorHAnsi" w:cstheme="minorHAnsi"/>
          <w:sz w:val="24"/>
        </w:rPr>
      </w:pPr>
      <w:r w:rsidRPr="00ED4161">
        <w:rPr>
          <w:rFonts w:asciiTheme="minorHAnsi" w:hAnsiTheme="minorHAnsi" w:cstheme="minorHAnsi"/>
          <w:sz w:val="24"/>
        </w:rPr>
        <w:t>System sterowania,</w:t>
      </w:r>
    </w:p>
    <w:p w14:paraId="3528E493" w14:textId="77777777" w:rsidR="00BF654E" w:rsidRPr="00ED4161" w:rsidRDefault="00BF654E" w:rsidP="00BF654E">
      <w:pPr>
        <w:numPr>
          <w:ilvl w:val="0"/>
          <w:numId w:val="27"/>
        </w:numPr>
        <w:jc w:val="both"/>
        <w:rPr>
          <w:rFonts w:asciiTheme="minorHAnsi" w:hAnsiTheme="minorHAnsi" w:cstheme="minorHAnsi"/>
          <w:sz w:val="24"/>
        </w:rPr>
      </w:pPr>
      <w:r w:rsidRPr="00ED4161">
        <w:rPr>
          <w:rFonts w:asciiTheme="minorHAnsi" w:hAnsiTheme="minorHAnsi" w:cstheme="minorHAnsi"/>
          <w:sz w:val="24"/>
        </w:rPr>
        <w:t>Komputer</w:t>
      </w:r>
    </w:p>
    <w:p w14:paraId="7CD59B3D" w14:textId="77777777" w:rsidR="00EA33CE" w:rsidRPr="00ED4161" w:rsidRDefault="00EA33CE" w:rsidP="00EA33CE">
      <w:pPr>
        <w:pStyle w:val="Akapitzlist"/>
        <w:spacing w:after="0" w:line="240" w:lineRule="auto"/>
        <w:jc w:val="both"/>
        <w:rPr>
          <w:rFonts w:eastAsia="Times New Roman" w:cstheme="minorHAnsi"/>
          <w:b/>
          <w:color w:val="000000"/>
          <w:sz w:val="24"/>
          <w:szCs w:val="24"/>
          <w:lang w:eastAsia="pl-PL"/>
        </w:rPr>
      </w:pPr>
    </w:p>
    <w:p w14:paraId="29B16A13" w14:textId="77777777" w:rsidR="00EA33CE" w:rsidRPr="00EA33CE" w:rsidRDefault="00EA33CE" w:rsidP="00EA33C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D4161">
        <w:rPr>
          <w:rFonts w:asciiTheme="minorHAnsi" w:eastAsia="Times New Roman" w:hAnsiTheme="minorHAnsi" w:cstheme="minorHAnsi"/>
          <w:color w:val="000000" w:themeColor="text1"/>
          <w:sz w:val="24"/>
          <w:szCs w:val="24"/>
          <w:lang w:eastAsia="pl-PL"/>
        </w:rPr>
        <w:t>Określenie zamówienia</w:t>
      </w:r>
      <w:r w:rsidRPr="00EA33CE">
        <w:rPr>
          <w:rFonts w:asciiTheme="minorHAnsi" w:eastAsia="Times New Roman" w:hAnsiTheme="minorHAnsi" w:cstheme="minorHAnsi"/>
          <w:color w:val="000000" w:themeColor="text1"/>
          <w:sz w:val="24"/>
          <w:szCs w:val="24"/>
          <w:lang w:eastAsia="pl-PL"/>
        </w:rPr>
        <w:t xml:space="preserve"> według Wspólnego Słownika Zamówień (CPV):</w:t>
      </w:r>
    </w:p>
    <w:p w14:paraId="163F1892" w14:textId="77777777" w:rsidR="00EA33CE" w:rsidRPr="00EA33CE" w:rsidRDefault="00EA33CE" w:rsidP="00EA33CE">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A33CE">
        <w:rPr>
          <w:rFonts w:asciiTheme="minorHAnsi" w:hAnsiTheme="minorHAnsi" w:cstheme="minorHAnsi"/>
          <w:sz w:val="24"/>
          <w:szCs w:val="24"/>
        </w:rPr>
        <w:t>38540000 – 2 Maszyny i aparatura badawcza i pomiarowa</w:t>
      </w:r>
    </w:p>
    <w:p w14:paraId="0D9E5F53" w14:textId="77777777" w:rsidR="00EA33CE" w:rsidRPr="00EA33CE" w:rsidRDefault="00EA33CE" w:rsidP="00EA33CE">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0FBBB52B" w14:textId="77777777" w:rsidR="00EA33CE" w:rsidRPr="00EA33CE" w:rsidRDefault="00EA33CE" w:rsidP="00EA33C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Szczegółowy opis przedmiotu zamówienia przedstawiony został w załączniku nr 1 do SIWZ.</w:t>
      </w:r>
    </w:p>
    <w:p w14:paraId="2F21E712"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42AA7D13"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Informacja na temat możliwości składania ofert wariantowych i równoważnych</w:t>
      </w:r>
    </w:p>
    <w:p w14:paraId="218D0C15" w14:textId="77777777" w:rsidR="00EA33CE" w:rsidRPr="00EA33CE" w:rsidRDefault="00EA33CE" w:rsidP="00EA33CE">
      <w:pPr>
        <w:numPr>
          <w:ilvl w:val="0"/>
          <w:numId w:val="6"/>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nie dopuszcza składania ofert wariantowych.</w:t>
      </w:r>
    </w:p>
    <w:p w14:paraId="3B1554BA" w14:textId="77777777" w:rsidR="00EA33CE" w:rsidRPr="00EA33CE" w:rsidRDefault="00EA33CE" w:rsidP="00EA33CE">
      <w:pPr>
        <w:numPr>
          <w:ilvl w:val="0"/>
          <w:numId w:val="6"/>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Zamawiający nie dopuszcza składania ofert częściowych. </w:t>
      </w:r>
    </w:p>
    <w:p w14:paraId="3C6027E8" w14:textId="77777777" w:rsidR="00EA33CE" w:rsidRPr="00EA33CE" w:rsidRDefault="00EA33CE" w:rsidP="00EA33CE">
      <w:pPr>
        <w:numPr>
          <w:ilvl w:val="0"/>
          <w:numId w:val="6"/>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dopuszcza składanie ofert równoważnych.</w:t>
      </w:r>
    </w:p>
    <w:p w14:paraId="4FE7BBEF" w14:textId="77777777"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082192B3" w14:textId="77777777"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lastRenderedPageBreak/>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Zamawiający dopuszcza możliwość stosowania norm równoważnych. </w:t>
      </w:r>
    </w:p>
    <w:p w14:paraId="0B058C76" w14:textId="77777777"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sz w:val="24"/>
          <w:szCs w:val="24"/>
          <w:lang w:eastAsia="pl-PL"/>
        </w:rPr>
        <w:t xml:space="preserve">Wykonawca powołujący się na rozwiązania równoważne stosownie do dyspozycji art. 30 ust.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EA33CE">
        <w:rPr>
          <w:rFonts w:asciiTheme="minorHAnsi" w:eastAsia="Times New Roman" w:hAnsiTheme="minorHAnsi" w:cs="Times New Roman"/>
          <w:color w:val="000000" w:themeColor="text1"/>
          <w:sz w:val="24"/>
          <w:szCs w:val="24"/>
          <w:lang w:eastAsia="pl-PL"/>
        </w:rPr>
        <w:t>umowy ujęto materiały i urządzenia zaproponowane w opisie przedmiotu zamówienia.</w:t>
      </w:r>
    </w:p>
    <w:p w14:paraId="6EEA3D84" w14:textId="77777777" w:rsidR="00EA33CE" w:rsidRPr="00EA33CE" w:rsidRDefault="00EA33CE" w:rsidP="00EA33CE">
      <w:pPr>
        <w:tabs>
          <w:tab w:val="left" w:pos="426"/>
        </w:tabs>
        <w:contextualSpacing/>
        <w:jc w:val="both"/>
        <w:rPr>
          <w:rFonts w:asciiTheme="minorHAnsi" w:eastAsia="Times New Roman" w:hAnsiTheme="minorHAnsi" w:cs="Times New Roman"/>
          <w:b/>
          <w:color w:val="000000" w:themeColor="text1"/>
          <w:sz w:val="24"/>
          <w:szCs w:val="24"/>
          <w:lang w:eastAsia="pl-PL"/>
        </w:rPr>
      </w:pPr>
    </w:p>
    <w:p w14:paraId="2B46E911"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color w:val="000000" w:themeColor="text1"/>
          <w:sz w:val="24"/>
          <w:szCs w:val="24"/>
          <w:lang w:eastAsia="pl-PL"/>
        </w:rPr>
      </w:pPr>
      <w:r w:rsidRPr="00EA33CE">
        <w:rPr>
          <w:rFonts w:asciiTheme="minorHAnsi" w:eastAsia="Times New Roman" w:hAnsiTheme="minorHAnsi" w:cs="Times New Roman"/>
          <w:b/>
          <w:color w:val="000000" w:themeColor="text1"/>
          <w:sz w:val="24"/>
          <w:szCs w:val="24"/>
          <w:lang w:eastAsia="pl-PL"/>
        </w:rPr>
        <w:t>Termin wykonania zamówienia</w:t>
      </w:r>
    </w:p>
    <w:p w14:paraId="5A67EB3E" w14:textId="20D9E377"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ab/>
        <w:t>Termi</w:t>
      </w:r>
      <w:r w:rsidR="00BF654E">
        <w:rPr>
          <w:rFonts w:asciiTheme="minorHAnsi" w:eastAsia="Times New Roman" w:hAnsiTheme="minorHAnsi" w:cs="Times New Roman"/>
          <w:color w:val="000000" w:themeColor="text1"/>
          <w:sz w:val="24"/>
          <w:szCs w:val="24"/>
          <w:lang w:eastAsia="pl-PL"/>
        </w:rPr>
        <w:t xml:space="preserve">n wykonania </w:t>
      </w:r>
      <w:r w:rsidR="00BF654E" w:rsidRPr="00A17251">
        <w:rPr>
          <w:rFonts w:asciiTheme="minorHAnsi" w:eastAsia="Times New Roman" w:hAnsiTheme="minorHAnsi" w:cs="Times New Roman"/>
          <w:color w:val="000000" w:themeColor="text1"/>
          <w:sz w:val="24"/>
          <w:szCs w:val="24"/>
          <w:lang w:eastAsia="pl-PL"/>
        </w:rPr>
        <w:t xml:space="preserve">przedmiotu: do </w:t>
      </w:r>
      <w:r w:rsidR="00CD4B0C" w:rsidRPr="00A17251">
        <w:rPr>
          <w:rFonts w:asciiTheme="minorHAnsi" w:eastAsia="Times New Roman" w:hAnsiTheme="minorHAnsi" w:cs="Times New Roman"/>
          <w:color w:val="000000" w:themeColor="text1"/>
          <w:sz w:val="24"/>
          <w:szCs w:val="24"/>
          <w:lang w:eastAsia="pl-PL"/>
        </w:rPr>
        <w:t>9 miesięcy</w:t>
      </w:r>
      <w:r w:rsidRPr="00A17251">
        <w:rPr>
          <w:rFonts w:asciiTheme="minorHAnsi" w:eastAsia="Times New Roman" w:hAnsiTheme="minorHAnsi" w:cs="Times New Roman"/>
          <w:color w:val="000000" w:themeColor="text1"/>
          <w:sz w:val="24"/>
          <w:szCs w:val="24"/>
          <w:lang w:eastAsia="pl-PL"/>
        </w:rPr>
        <w:t>.</w:t>
      </w:r>
    </w:p>
    <w:p w14:paraId="5FB8A0F5" w14:textId="77777777" w:rsidR="00EA33CE" w:rsidRPr="00EA33CE" w:rsidRDefault="00EA33CE" w:rsidP="00EA33CE">
      <w:pPr>
        <w:tabs>
          <w:tab w:val="left" w:pos="1701"/>
        </w:tabs>
        <w:contextualSpacing/>
        <w:jc w:val="both"/>
        <w:rPr>
          <w:rFonts w:asciiTheme="minorHAnsi" w:eastAsia="Times New Roman" w:hAnsiTheme="minorHAnsi" w:cs="Times New Roman"/>
          <w:b/>
          <w:color w:val="000000" w:themeColor="text1"/>
          <w:sz w:val="24"/>
          <w:szCs w:val="24"/>
          <w:lang w:eastAsia="pl-PL"/>
        </w:rPr>
      </w:pPr>
    </w:p>
    <w:p w14:paraId="4903C560" w14:textId="77777777" w:rsidR="00EA33CE" w:rsidRPr="00EA33CE" w:rsidRDefault="00EA33CE" w:rsidP="00EA33CE">
      <w:pPr>
        <w:numPr>
          <w:ilvl w:val="0"/>
          <w:numId w:val="5"/>
        </w:numPr>
        <w:tabs>
          <w:tab w:val="left" w:pos="426"/>
        </w:tabs>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0B7BCB5" w14:textId="77777777" w:rsidR="00EA33CE" w:rsidRPr="00EA33CE" w:rsidRDefault="00EA33CE" w:rsidP="00EA33CE">
      <w:pPr>
        <w:tabs>
          <w:tab w:val="left" w:pos="567"/>
        </w:tabs>
        <w:contextualSpacing/>
        <w:jc w:val="both"/>
        <w:rPr>
          <w:rFonts w:asciiTheme="minorHAnsi" w:eastAsia="Times New Roman" w:hAnsiTheme="minorHAnsi" w:cs="Times New Roman"/>
          <w:sz w:val="24"/>
          <w:szCs w:val="24"/>
          <w:lang w:eastAsia="pl-PL"/>
        </w:rPr>
      </w:pPr>
    </w:p>
    <w:p w14:paraId="13CF3483" w14:textId="77777777"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 udzielenie zamówienia mogą się ubiegać Wykonawcy, którzy:</w:t>
      </w:r>
    </w:p>
    <w:p w14:paraId="0F1E4761"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nie podlegają wykluczeniu;</w:t>
      </w:r>
    </w:p>
    <w:p w14:paraId="17A51A26"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spełniają warunki udziału w postępowaniu określone przez Zamawiającego.</w:t>
      </w:r>
    </w:p>
    <w:p w14:paraId="33E8E957" w14:textId="77777777"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p>
    <w:p w14:paraId="094C77AA" w14:textId="77777777"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Podstawy wykluczenia:</w:t>
      </w:r>
    </w:p>
    <w:p w14:paraId="55976C0E" w14:textId="77777777" w:rsidR="00EA33CE" w:rsidRPr="00EA33CE" w:rsidRDefault="00EA33CE" w:rsidP="00EA33CE">
      <w:pPr>
        <w:numPr>
          <w:ilvl w:val="1"/>
          <w:numId w:val="9"/>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Zamawiający </w:t>
      </w:r>
      <w:r w:rsidRPr="00EA33CE">
        <w:rPr>
          <w:rFonts w:asciiTheme="minorHAnsi" w:eastAsia="Times New Roman" w:hAnsiTheme="minorHAnsi" w:cs="Times New Roman"/>
          <w:b/>
          <w:sz w:val="24"/>
          <w:szCs w:val="24"/>
          <w:lang w:eastAsia="pl-PL"/>
        </w:rPr>
        <w:t>wykluczy</w:t>
      </w:r>
      <w:r w:rsidRPr="00EA33CE">
        <w:rPr>
          <w:rFonts w:asciiTheme="minorHAnsi" w:eastAsia="Times New Roman" w:hAnsiTheme="minorHAnsi" w:cs="Times New Roman"/>
          <w:sz w:val="24"/>
          <w:szCs w:val="24"/>
          <w:lang w:eastAsia="pl-PL"/>
        </w:rPr>
        <w:t xml:space="preserve"> z postępowania Wykonawcę/ów w przypadkach, o których mowa w art. 24 ust.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i art. 24 ust. 5 pkt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14:paraId="2D1930E0" w14:textId="77777777" w:rsidR="00EA33CE" w:rsidRPr="00EA33CE" w:rsidRDefault="00EA33CE" w:rsidP="00EA33CE">
      <w:pPr>
        <w:contextualSpacing/>
        <w:jc w:val="both"/>
        <w:rPr>
          <w:rFonts w:asciiTheme="minorHAnsi" w:eastAsia="Times New Roman" w:hAnsiTheme="minorHAnsi" w:cs="Times New Roman"/>
          <w:sz w:val="24"/>
          <w:szCs w:val="24"/>
          <w:lang w:eastAsia="pl-PL"/>
        </w:rPr>
      </w:pPr>
    </w:p>
    <w:p w14:paraId="3A74C868" w14:textId="77777777"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 xml:space="preserve">Warunki udziału w postępowaniu, określone przez Zamawiającego zgodnie z art. 22 ust. 1b ustawy </w:t>
      </w:r>
      <w:proofErr w:type="spellStart"/>
      <w:r w:rsidRPr="00EA33CE">
        <w:rPr>
          <w:rFonts w:asciiTheme="minorHAnsi" w:eastAsia="Times New Roman" w:hAnsiTheme="minorHAnsi" w:cs="Times New Roman"/>
          <w:b/>
          <w:sz w:val="24"/>
          <w:szCs w:val="24"/>
          <w:lang w:eastAsia="pl-PL"/>
        </w:rPr>
        <w:t>Pzp</w:t>
      </w:r>
      <w:proofErr w:type="spellEnd"/>
      <w:r w:rsidRPr="00EA33CE">
        <w:rPr>
          <w:rFonts w:asciiTheme="minorHAnsi" w:eastAsia="Times New Roman" w:hAnsiTheme="minorHAnsi" w:cs="Times New Roman"/>
          <w:b/>
          <w:sz w:val="24"/>
          <w:szCs w:val="24"/>
          <w:lang w:eastAsia="pl-PL"/>
        </w:rPr>
        <w:t>:</w:t>
      </w:r>
    </w:p>
    <w:p w14:paraId="2D391F1D" w14:textId="77777777" w:rsidR="00EA33CE" w:rsidRPr="00EA33CE" w:rsidRDefault="00EA33CE" w:rsidP="00EA33CE">
      <w:pPr>
        <w:numPr>
          <w:ilvl w:val="0"/>
          <w:numId w:val="4"/>
        </w:numPr>
        <w:spacing w:line="240" w:lineRule="auto"/>
        <w:contextualSpacing/>
        <w:jc w:val="both"/>
        <w:rPr>
          <w:rFonts w:asciiTheme="minorHAnsi" w:eastAsia="Times New Roman" w:hAnsiTheme="minorHAnsi" w:cs="Times New Roman"/>
          <w:vanish/>
          <w:sz w:val="24"/>
          <w:szCs w:val="24"/>
          <w:lang w:eastAsia="pl-PL"/>
        </w:rPr>
      </w:pPr>
    </w:p>
    <w:p w14:paraId="036B7381" w14:textId="77777777" w:rsidR="00EA33CE" w:rsidRPr="00EA33CE" w:rsidRDefault="00EA33CE" w:rsidP="00EA33CE">
      <w:pPr>
        <w:numPr>
          <w:ilvl w:val="0"/>
          <w:numId w:val="4"/>
        </w:numPr>
        <w:spacing w:line="240" w:lineRule="auto"/>
        <w:contextualSpacing/>
        <w:jc w:val="both"/>
        <w:rPr>
          <w:rFonts w:asciiTheme="minorHAnsi" w:eastAsia="Times New Roman" w:hAnsiTheme="minorHAnsi" w:cs="Times New Roman"/>
          <w:vanish/>
          <w:sz w:val="24"/>
          <w:szCs w:val="24"/>
          <w:lang w:eastAsia="pl-PL"/>
        </w:rPr>
      </w:pPr>
    </w:p>
    <w:p w14:paraId="4C3AD8C8"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14:paraId="089B3DFC"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sytuacja ekonomiczna i finansowa – w tym zakresie Zamawiający nie precyzuje warunku.</w:t>
      </w:r>
    </w:p>
    <w:p w14:paraId="46A5B168" w14:textId="5CE2ECA3"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zdolność techniczna lub zawodowa – Wykonawca musi wykazać, że w okresie ostatnich 3 lat przed upływem terminu składania ofert, a jeżeli okres prowadzenia </w:t>
      </w:r>
      <w:r w:rsidRPr="00EA33CE">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w:t>
      </w:r>
      <w:r w:rsidRPr="00E811B0">
        <w:rPr>
          <w:rFonts w:asciiTheme="minorHAnsi" w:eastAsia="Times New Roman" w:hAnsiTheme="minorHAnsi" w:cstheme="minorHAnsi"/>
          <w:color w:val="000000" w:themeColor="text1"/>
          <w:sz w:val="24"/>
          <w:szCs w:val="24"/>
          <w:lang w:eastAsia="pl-PL"/>
        </w:rPr>
        <w:t xml:space="preserve">lub o charakterze </w:t>
      </w:r>
      <w:r w:rsidRPr="007A7C97">
        <w:rPr>
          <w:rFonts w:asciiTheme="minorHAnsi" w:eastAsia="Times New Roman" w:hAnsiTheme="minorHAnsi" w:cstheme="minorHAnsi"/>
          <w:color w:val="000000" w:themeColor="text1"/>
          <w:sz w:val="24"/>
          <w:szCs w:val="24"/>
          <w:lang w:eastAsia="pl-PL"/>
        </w:rPr>
        <w:t xml:space="preserve">ciągłym również wykonuje należycie, </w:t>
      </w:r>
      <w:r w:rsidR="007A7C97" w:rsidRPr="007A7C97">
        <w:rPr>
          <w:rFonts w:asciiTheme="minorHAnsi" w:eastAsia="Times New Roman" w:hAnsiTheme="minorHAnsi" w:cstheme="minorHAnsi"/>
          <w:color w:val="000000" w:themeColor="text1"/>
          <w:sz w:val="24"/>
          <w:szCs w:val="24"/>
          <w:lang w:eastAsia="pl-PL"/>
        </w:rPr>
        <w:t xml:space="preserve">co najmniej 3 dostawy </w:t>
      </w:r>
      <w:r w:rsidR="007A7C97" w:rsidRPr="007A7C97">
        <w:rPr>
          <w:rFonts w:asciiTheme="minorHAnsi" w:hAnsiTheme="minorHAnsi" w:cstheme="minorHAnsi"/>
          <w:sz w:val="24"/>
          <w:szCs w:val="24"/>
        </w:rPr>
        <w:t>urządzeń do badań mechanicznych</w:t>
      </w:r>
      <w:r w:rsidR="007A7C97" w:rsidRPr="007A7C97">
        <w:rPr>
          <w:rFonts w:asciiTheme="minorHAnsi" w:eastAsia="Times New Roman" w:hAnsiTheme="minorHAnsi" w:cstheme="minorHAnsi"/>
          <w:color w:val="000000" w:themeColor="text1"/>
          <w:sz w:val="24"/>
          <w:szCs w:val="24"/>
          <w:lang w:eastAsia="pl-PL"/>
        </w:rPr>
        <w:t>, o wartości co najmniej 850.000,00 (osiemset pięćdziesiąt tysięcy) zł brutto.</w:t>
      </w:r>
    </w:p>
    <w:p w14:paraId="5D93B9D9"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14:paraId="074D9639" w14:textId="77777777" w:rsidR="00EA33CE" w:rsidRPr="00EA33CE" w:rsidRDefault="00EA33CE" w:rsidP="00EA33C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4688BAC2" w14:textId="77777777" w:rsidR="00EA33CE" w:rsidRPr="00EA33CE" w:rsidRDefault="00EA33CE" w:rsidP="00EA33C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06718B35" w14:textId="77777777" w:rsidR="00EA33CE" w:rsidRPr="00EA33CE" w:rsidRDefault="00EA33CE" w:rsidP="00EA33C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4CF624DA" w14:textId="77777777" w:rsidR="00EA33CE" w:rsidRPr="00EA33CE" w:rsidRDefault="00EA33CE" w:rsidP="00EA33C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19F0ACAB" w14:textId="77777777" w:rsidR="00EA33CE" w:rsidRPr="00EA33CE" w:rsidRDefault="00EA33CE" w:rsidP="00EA33CE">
      <w:pPr>
        <w:pStyle w:val="Akapitzlist"/>
        <w:spacing w:after="0" w:line="240" w:lineRule="auto"/>
        <w:ind w:left="1069"/>
        <w:jc w:val="both"/>
        <w:rPr>
          <w:rFonts w:eastAsia="Times New Roman" w:cs="Times New Roman"/>
          <w:sz w:val="24"/>
          <w:szCs w:val="24"/>
          <w:lang w:eastAsia="pl-PL"/>
        </w:rPr>
      </w:pPr>
    </w:p>
    <w:p w14:paraId="411CDE0F" w14:textId="77777777"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Wykaz oświadczeń i dokumentów, potwierdzających brak podstaw wykluczenia oraz spełnianie warunków udziału w postępowaniu:</w:t>
      </w:r>
    </w:p>
    <w:p w14:paraId="0B7FB94C" w14:textId="77777777"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sz w:val="24"/>
          <w:szCs w:val="24"/>
          <w:lang w:eastAsia="pl-PL"/>
        </w:rPr>
        <w:t xml:space="preserve">Dokumenty lub oświadczenia składane są w oryginale w postaci dokumentu elektronicznego lub w elektronicznej kopii dokumentu lub </w:t>
      </w:r>
      <w:r w:rsidRPr="00EA33CE">
        <w:rPr>
          <w:rFonts w:asciiTheme="minorHAnsi" w:eastAsia="Times New Roman" w:hAnsiTheme="minorHAnsi" w:cs="Times New Roman"/>
          <w:color w:val="000000" w:themeColor="text1"/>
          <w:sz w:val="24"/>
          <w:szCs w:val="24"/>
          <w:lang w:eastAsia="pl-PL"/>
        </w:rPr>
        <w:t xml:space="preserve">oświadczenia poświadczonej za zgodność </w:t>
      </w:r>
      <w:r w:rsidRPr="00EA33CE">
        <w:rPr>
          <w:rFonts w:asciiTheme="minorHAnsi" w:eastAsia="Times New Roman" w:hAnsiTheme="minorHAnsi" w:cs="Times New Roman"/>
          <w:color w:val="000000" w:themeColor="text1"/>
          <w:sz w:val="24"/>
          <w:szCs w:val="24"/>
          <w:lang w:eastAsia="pl-PL"/>
        </w:rPr>
        <w:br/>
        <w:t>z oryginałem.</w:t>
      </w:r>
    </w:p>
    <w:p w14:paraId="3DF455E7" w14:textId="77777777" w:rsidR="00EA33CE" w:rsidRPr="00EA33CE" w:rsidRDefault="00EA33CE" w:rsidP="00EA33CE">
      <w:pPr>
        <w:numPr>
          <w:ilvl w:val="0"/>
          <w:numId w:val="4"/>
        </w:numPr>
        <w:spacing w:line="240" w:lineRule="auto"/>
        <w:contextualSpacing/>
        <w:jc w:val="both"/>
        <w:rPr>
          <w:rFonts w:asciiTheme="minorHAnsi" w:eastAsia="Times New Roman" w:hAnsiTheme="minorHAnsi" w:cs="Times New Roman"/>
          <w:vanish/>
          <w:color w:val="000000" w:themeColor="text1"/>
          <w:sz w:val="24"/>
          <w:szCs w:val="24"/>
          <w:lang w:eastAsia="pl-PL"/>
        </w:rPr>
      </w:pPr>
    </w:p>
    <w:p w14:paraId="619048B8" w14:textId="77777777" w:rsidR="00EA33CE" w:rsidRPr="00EA33CE" w:rsidRDefault="00EA33CE" w:rsidP="00EA33CE">
      <w:pPr>
        <w:spacing w:line="240" w:lineRule="auto"/>
        <w:contextualSpacing/>
        <w:jc w:val="both"/>
        <w:rPr>
          <w:rFonts w:asciiTheme="minorHAnsi" w:eastAsia="Times New Roman" w:hAnsiTheme="minorHAnsi" w:cs="Times New Roman"/>
          <w:b/>
          <w:color w:val="000000" w:themeColor="text1"/>
          <w:sz w:val="24"/>
          <w:szCs w:val="24"/>
          <w:lang w:eastAsia="pl-PL"/>
        </w:rPr>
      </w:pPr>
    </w:p>
    <w:p w14:paraId="7742B7D2"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5592F297" w14:textId="77777777"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p>
    <w:p w14:paraId="01717C14" w14:textId="77777777" w:rsidR="00EA33CE" w:rsidRPr="00EA33CE" w:rsidRDefault="00EA33CE" w:rsidP="00EA33CE">
      <w:pPr>
        <w:numPr>
          <w:ilvl w:val="0"/>
          <w:numId w:val="11"/>
        </w:numPr>
        <w:spacing w:line="240" w:lineRule="auto"/>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Jednolitego europejskiego dokumentu zamówienia (JEDZ) – zgodnie z Załącznikiem nr 3a do SIWZ (składany razem z ofertą).</w:t>
      </w:r>
    </w:p>
    <w:p w14:paraId="79B1A9FC" w14:textId="77777777" w:rsidR="00EA33CE" w:rsidRPr="00EA33CE" w:rsidRDefault="00EA33CE" w:rsidP="00EA33CE">
      <w:pPr>
        <w:spacing w:line="240" w:lineRule="auto"/>
        <w:jc w:val="both"/>
        <w:rPr>
          <w:rFonts w:asciiTheme="minorHAnsi" w:hAnsiTheme="minorHAnsi" w:cs="Calibri"/>
          <w:color w:val="000000" w:themeColor="text1"/>
          <w:sz w:val="24"/>
          <w:szCs w:val="24"/>
        </w:rPr>
      </w:pPr>
    </w:p>
    <w:p w14:paraId="2FD31485" w14:textId="77777777" w:rsidR="00EA33CE" w:rsidRPr="00EA33CE" w:rsidRDefault="00EA33CE" w:rsidP="00EA33CE">
      <w:pPr>
        <w:numPr>
          <w:ilvl w:val="0"/>
          <w:numId w:val="11"/>
        </w:numPr>
        <w:spacing w:line="240" w:lineRule="auto"/>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 xml:space="preserve">wykazu wykonanych, a w przypadku świadczeń okresowych lub ciągłych również wykonywanych, </w:t>
      </w:r>
      <w:r w:rsidRPr="00EA33CE">
        <w:rPr>
          <w:rFonts w:asciiTheme="minorHAnsi" w:eastAsia="Times New Roman" w:hAnsiTheme="minorHAnsi" w:cs="Times New Roman"/>
          <w:b/>
          <w:color w:val="000000" w:themeColor="text1"/>
          <w:sz w:val="24"/>
          <w:szCs w:val="24"/>
          <w:lang w:eastAsia="pl-PL"/>
        </w:rPr>
        <w:t>dostaw</w:t>
      </w:r>
      <w:r w:rsidRPr="00EA33CE">
        <w:rPr>
          <w:rFonts w:asciiTheme="minorHAnsi" w:eastAsia="Times New Roman" w:hAnsiTheme="minorHAnsi" w:cs="Times New Roman"/>
          <w:b/>
          <w:bCs/>
          <w:color w:val="000000" w:themeColor="text1"/>
          <w:sz w:val="24"/>
          <w:szCs w:val="24"/>
          <w:lang w:eastAsia="pl-PL"/>
        </w:rPr>
        <w:t xml:space="preserve"> </w:t>
      </w:r>
      <w:r w:rsidRPr="00EA33CE">
        <w:rPr>
          <w:rFonts w:asciiTheme="minorHAnsi" w:eastAsia="Times New Roman" w:hAnsiTheme="minorHAnsi" w:cs="Times New Roman"/>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EA33CE">
        <w:rPr>
          <w:rFonts w:asciiTheme="minorHAnsi" w:eastAsia="Times New Roman" w:hAnsiTheme="minorHAnsi" w:cs="Times New Roman"/>
          <w:color w:val="000000" w:themeColor="text1"/>
          <w:sz w:val="24"/>
          <w:szCs w:val="24"/>
          <w:lang w:eastAsia="pl-PL"/>
        </w:rPr>
        <w:t xml:space="preserve">dat wykonania i podmiotów na rzecz których dostawy zostały wykonane, oraz załączeniem </w:t>
      </w:r>
      <w:r w:rsidRPr="00EA33CE">
        <w:rPr>
          <w:rFonts w:asciiTheme="minorHAnsi" w:eastAsia="Times New Roman" w:hAnsiTheme="minorHAnsi" w:cs="Times New Roman"/>
          <w:b/>
          <w:color w:val="000000" w:themeColor="text1"/>
          <w:sz w:val="24"/>
          <w:szCs w:val="24"/>
          <w:lang w:eastAsia="pl-PL"/>
        </w:rPr>
        <w:t>dowodów</w:t>
      </w:r>
      <w:r w:rsidRPr="00EA33CE">
        <w:rPr>
          <w:rFonts w:asciiTheme="minorHAnsi" w:eastAsia="Times New Roman" w:hAnsiTheme="minorHAnsi" w:cs="Times New Roman"/>
          <w:color w:val="000000" w:themeColor="text1"/>
          <w:sz w:val="24"/>
          <w:szCs w:val="24"/>
          <w:lang w:eastAsia="pl-PL"/>
        </w:rPr>
        <w:t xml:space="preserve"> określających czy te dostawy zostały wykonane lub są wykonywane należycie - zgodnie z Załącznikiem nr 5 do SIWZ </w:t>
      </w:r>
      <w:r w:rsidRPr="00EA33CE">
        <w:rPr>
          <w:rFonts w:asciiTheme="minorHAnsi" w:eastAsia="Times New Roman" w:hAnsiTheme="minorHAnsi" w:cs="Times New Roman"/>
          <w:b/>
          <w:color w:val="000000" w:themeColor="text1"/>
          <w:sz w:val="24"/>
          <w:szCs w:val="24"/>
          <w:lang w:eastAsia="pl-PL"/>
        </w:rPr>
        <w:t>(składany na wezwanie Zamawiającego – będzie obligowało Wykonawcę, którego oferta została najwyżej oceniona).</w:t>
      </w:r>
    </w:p>
    <w:p w14:paraId="4FC70DF4" w14:textId="77777777" w:rsidR="00EA33CE" w:rsidRPr="00EA33CE" w:rsidRDefault="00EA33CE" w:rsidP="00EA33CE">
      <w:pPr>
        <w:spacing w:line="240" w:lineRule="auto"/>
        <w:ind w:left="720"/>
        <w:jc w:val="both"/>
        <w:rPr>
          <w:rFonts w:asciiTheme="minorHAnsi" w:eastAsia="Times New Roman" w:hAnsiTheme="minorHAnsi" w:cs="Times New Roman"/>
          <w:color w:val="000000" w:themeColor="text1"/>
          <w:sz w:val="24"/>
          <w:szCs w:val="24"/>
          <w:lang w:eastAsia="pl-PL"/>
        </w:rPr>
      </w:pPr>
    </w:p>
    <w:p w14:paraId="226F291A" w14:textId="77777777" w:rsidR="00EA33CE" w:rsidRPr="00EA33CE" w:rsidRDefault="00EA33CE" w:rsidP="00EA33CE">
      <w:pPr>
        <w:spacing w:line="240" w:lineRule="auto"/>
        <w:ind w:left="720"/>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 xml:space="preserve">Dowodami, o których mowa wyżej są: </w:t>
      </w:r>
    </w:p>
    <w:p w14:paraId="1D888DA9" w14:textId="77777777" w:rsidR="00EA33CE" w:rsidRPr="00EA33CE" w:rsidRDefault="00EA33CE" w:rsidP="00EA33CE">
      <w:pPr>
        <w:numPr>
          <w:ilvl w:val="0"/>
          <w:numId w:val="17"/>
        </w:numPr>
        <w:spacing w:line="240" w:lineRule="auto"/>
        <w:ind w:left="1134" w:hanging="425"/>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referencje bądź inne dokumenty wystawione przez podmiot, na rzecz którego usługi były wykonywane, a w przypadku świadczeń okresowych lub ciągłych są wykonywane,</w:t>
      </w:r>
    </w:p>
    <w:p w14:paraId="1AAF3D40" w14:textId="77777777" w:rsidR="00EA33CE" w:rsidRPr="00EA33CE" w:rsidRDefault="00EA33CE" w:rsidP="00EA33CE">
      <w:pPr>
        <w:numPr>
          <w:ilvl w:val="0"/>
          <w:numId w:val="17"/>
        </w:numPr>
        <w:spacing w:line="240" w:lineRule="auto"/>
        <w:ind w:left="1134" w:hanging="425"/>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4FCD8436" w14:textId="77777777" w:rsidR="00EA33CE" w:rsidRPr="00EA33CE" w:rsidRDefault="00EA33CE" w:rsidP="00EA33CE">
      <w:pPr>
        <w:numPr>
          <w:ilvl w:val="0"/>
          <w:numId w:val="17"/>
        </w:numPr>
        <w:spacing w:line="240" w:lineRule="auto"/>
        <w:ind w:left="1134" w:hanging="425"/>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1A55DBCB" w14:textId="77777777" w:rsidR="00EA33CE" w:rsidRPr="00EA33CE" w:rsidRDefault="00EA33CE" w:rsidP="00EA33CE">
      <w:pPr>
        <w:spacing w:line="240" w:lineRule="auto"/>
        <w:ind w:left="709"/>
        <w:jc w:val="both"/>
        <w:rPr>
          <w:rFonts w:asciiTheme="minorHAnsi" w:eastAsia="Times New Roman" w:hAnsiTheme="minorHAnsi" w:cs="Times New Roman"/>
          <w:bCs/>
          <w:color w:val="000000" w:themeColor="text1"/>
          <w:sz w:val="24"/>
          <w:szCs w:val="24"/>
          <w:lang w:eastAsia="pl-PL"/>
        </w:rPr>
      </w:pPr>
      <w:r w:rsidRPr="00EA33CE">
        <w:rPr>
          <w:rFonts w:asciiTheme="minorHAnsi" w:eastAsia="Times New Roman" w:hAnsiTheme="minorHAnsi"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ADDBBDB"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577CBAD7"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lastRenderedPageBreak/>
        <w:t xml:space="preserve">W celu potwierdzenia braku podstaw wykluczenia wykonawcy z postępowania o udzielenie zamówienia na podstawie okoliczności, o których mowa w art. 24 ust. 1 i ust. 5 pkt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należy na wezwanie Zamawiającego, pod rygorem wykluczenia z postępowania, złożyć w wyznaczonym przez Zamawiającego terminie następujące oświadczenia i dokumenty:</w:t>
      </w:r>
    </w:p>
    <w:p w14:paraId="6718B4BA" w14:textId="77777777" w:rsidR="00EA33CE" w:rsidRPr="00EA33CE" w:rsidRDefault="00EA33CE" w:rsidP="00EA33CE">
      <w:pPr>
        <w:spacing w:line="240" w:lineRule="auto"/>
        <w:contextualSpacing/>
        <w:jc w:val="both"/>
        <w:rPr>
          <w:rFonts w:asciiTheme="minorHAnsi" w:eastAsia="Times New Roman" w:hAnsiTheme="minorHAnsi" w:cs="Times New Roman"/>
          <w:sz w:val="24"/>
          <w:szCs w:val="24"/>
          <w:lang w:eastAsia="pl-PL"/>
        </w:rPr>
      </w:pPr>
    </w:p>
    <w:p w14:paraId="39DA2F9E" w14:textId="77777777" w:rsidR="00EA33CE" w:rsidRPr="00EA33CE" w:rsidRDefault="00EA33CE" w:rsidP="00EA33CE">
      <w:pPr>
        <w:numPr>
          <w:ilvl w:val="0"/>
          <w:numId w:val="12"/>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w:t>
      </w:r>
      <w:r w:rsidRPr="00EA33CE">
        <w:rPr>
          <w:rFonts w:asciiTheme="minorHAnsi" w:eastAsia="Times New Roman" w:hAnsiTheme="minorHAnsi" w:cs="Times New Roman"/>
          <w:b/>
          <w:sz w:val="24"/>
          <w:szCs w:val="24"/>
          <w:lang w:eastAsia="pl-PL"/>
        </w:rPr>
        <w:t>(składany na wezwanie Zamawiającego – będzie obligowało Wykonawcę, którego oferta została najwyżej oceniona)</w:t>
      </w:r>
    </w:p>
    <w:p w14:paraId="02619765" w14:textId="77777777" w:rsidR="00EA33CE" w:rsidRPr="00EA33CE" w:rsidRDefault="00EA33CE" w:rsidP="00EA33CE">
      <w:pPr>
        <w:spacing w:line="240" w:lineRule="auto"/>
        <w:contextualSpacing/>
        <w:jc w:val="both"/>
        <w:rPr>
          <w:rFonts w:asciiTheme="minorHAnsi" w:eastAsia="Times New Roman" w:hAnsiTheme="minorHAnsi" w:cs="Times New Roman"/>
          <w:sz w:val="24"/>
          <w:szCs w:val="24"/>
          <w:lang w:eastAsia="pl-PL"/>
        </w:rPr>
      </w:pPr>
    </w:p>
    <w:p w14:paraId="74F9ACBE" w14:textId="77777777" w:rsidR="00EA33CE" w:rsidRPr="00EA33CE" w:rsidRDefault="00EA33CE" w:rsidP="00EA33CE">
      <w:pPr>
        <w:numPr>
          <w:ilvl w:val="0"/>
          <w:numId w:val="12"/>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2964F7ED" w14:textId="77777777" w:rsidR="00EA33CE" w:rsidRPr="00EA33CE" w:rsidRDefault="00EA33CE" w:rsidP="00EA33CE">
      <w:pPr>
        <w:spacing w:line="240" w:lineRule="auto"/>
        <w:contextualSpacing/>
        <w:jc w:val="both"/>
        <w:rPr>
          <w:rFonts w:asciiTheme="minorHAnsi" w:eastAsia="Times New Roman" w:hAnsiTheme="minorHAnsi" w:cs="Times New Roman"/>
          <w:sz w:val="24"/>
          <w:szCs w:val="24"/>
          <w:lang w:eastAsia="pl-PL"/>
        </w:rPr>
      </w:pPr>
    </w:p>
    <w:p w14:paraId="21881617" w14:textId="77777777" w:rsidR="00EA33CE" w:rsidRPr="00EA33CE" w:rsidRDefault="00EA33CE" w:rsidP="00EA33CE">
      <w:pPr>
        <w:spacing w:line="240" w:lineRule="auto"/>
        <w:ind w:left="644"/>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UWAGA: Wykonawca składa powyższy dokument w terminie 3 dni od dnia zamieszczenia przez Zamawiającego informacji z otwarcia ofert na stronie internetowej (art. 86 ust.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14:paraId="7CC445C5"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10B59978"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Ponadto, do oferty należy załączyć następujące dokumenty:</w:t>
      </w:r>
    </w:p>
    <w:p w14:paraId="21CD50A9" w14:textId="77777777"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 </w:t>
      </w:r>
      <w:r w:rsidRPr="00EA33CE">
        <w:rPr>
          <w:rFonts w:asciiTheme="minorHAnsi" w:eastAsia="Times New Roman" w:hAnsiTheme="minorHAnsi" w:cs="Times New Roman"/>
          <w:color w:val="000000" w:themeColor="text1"/>
          <w:sz w:val="24"/>
          <w:szCs w:val="24"/>
          <w:lang w:eastAsia="pl-PL"/>
        </w:rPr>
        <w:t>Formularz ofertowy – według Załącznika nr 2 do SIWZ,</w:t>
      </w:r>
    </w:p>
    <w:p w14:paraId="5C9C227C" w14:textId="77777777"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dokument potwierdzający wniesienie wadium,</w:t>
      </w:r>
    </w:p>
    <w:p w14:paraId="6CE3C6A3" w14:textId="77777777"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dokumenty potwierdzające uprawnienia osób podpisujących ofertę Wykonawcy do działania w jego imieniu (w tym także pełnomocnictwa),</w:t>
      </w:r>
    </w:p>
    <w:p w14:paraId="79484203" w14:textId="77777777"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 w celu wykazania braku podstaw wykluczenia z postępowania o udzielenie zamówienia na podstawie okoliczności, o których mowa w niniejszym SIWZ oraz wykazania spełnienia warunków udziału określonych 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EA33CE">
        <w:rPr>
          <w:rFonts w:asciiTheme="minorHAnsi" w:eastAsia="Times New Roman" w:hAnsiTheme="minorHAnsi" w:cs="Times New Roman"/>
          <w:color w:val="000000" w:themeColor="text1"/>
          <w:sz w:val="24"/>
          <w:szCs w:val="24"/>
          <w:lang w:eastAsia="pl-PL"/>
        </w:rPr>
        <w:t>zakresie wskazanym  przez Zamawiającego z wykorzystaniem wzoru – Załącznik Nr 3a do SIWZ.</w:t>
      </w:r>
    </w:p>
    <w:p w14:paraId="64197562"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3FB91A07"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lastRenderedPageBreak/>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3B2847D3"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135835DC"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3A16E1FC" w14:textId="77777777"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zakres dostępnych wykonawcy zasobów innego podmiotu;</w:t>
      </w:r>
    </w:p>
    <w:p w14:paraId="1AE848B5" w14:textId="77777777"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sposób wykorzystania zasobów innego podmiotu, przez Wykonawcę, przy wykonywaniu zamówienia publicznego;</w:t>
      </w:r>
    </w:p>
    <w:p w14:paraId="5C39F828" w14:textId="77777777"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zakres i okres udziału innego podmiotu przy wykonywaniu zamówienia publicznego;</w:t>
      </w:r>
    </w:p>
    <w:p w14:paraId="36F1FD69" w14:textId="77777777"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C9367AD"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3DFD6371"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CDCA8D0" w14:textId="77777777" w:rsidR="00EA33CE" w:rsidRPr="00EA33CE" w:rsidRDefault="00EA33CE" w:rsidP="00EA33CE">
      <w:pPr>
        <w:contextualSpacing/>
        <w:jc w:val="both"/>
        <w:rPr>
          <w:rFonts w:asciiTheme="minorHAnsi" w:eastAsia="Times New Roman" w:hAnsiTheme="minorHAnsi" w:cs="Times New Roman"/>
          <w:sz w:val="24"/>
          <w:szCs w:val="24"/>
          <w:lang w:eastAsia="pl-PL"/>
        </w:rPr>
      </w:pPr>
    </w:p>
    <w:p w14:paraId="78450754"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Zamawiający żąda od Wykonawcy, który polega na zdolnościach lub sytuacji innych podmiotów na zasadach określonych w art. 22a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przedstawienia w odniesieniu do tych podmiotów dokumentów wymienionych w punkcie 4.2 lit. a) niniejszego rozdziału.</w:t>
      </w:r>
    </w:p>
    <w:p w14:paraId="0B372492"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5D829CAD"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Zamawiający żąda od Wykonawcy przedstawienia dokumentów wymienionych w punkcie 4.2 lit. a) niniejszego rozdziału, dotyczących podwykonawcy, któremu zamierza powierzyć wykonanie części zamówienia, a który nie jest podmiotem, na którego zdolnościach technicznych lub sytuacji finansowej wykonawca polega na zasadach określonych w art. 22a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14:paraId="76C1760E"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76DAF5C9"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14:paraId="49142637"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250AF21C"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 przypadku wspólnego ubiegania się o zamówienie przez wykonawców, 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2FF6E5C1"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2DD8DED4"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73E929F4" w14:textId="77777777" w:rsidR="00EA33CE" w:rsidRPr="00EA33CE" w:rsidRDefault="00EA33CE" w:rsidP="00EA33CE">
      <w:pPr>
        <w:pStyle w:val="Akapitzlist"/>
        <w:spacing w:after="0"/>
        <w:rPr>
          <w:rFonts w:eastAsia="Times New Roman" w:cs="Times New Roman"/>
          <w:sz w:val="24"/>
          <w:szCs w:val="24"/>
          <w:lang w:eastAsia="pl-PL"/>
        </w:rPr>
      </w:pPr>
    </w:p>
    <w:p w14:paraId="52FB65A8" w14:textId="77777777"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1177CD27"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3C0612F5"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Wykonawcy zagraniczni.</w:t>
      </w:r>
    </w:p>
    <w:p w14:paraId="501206E9" w14:textId="77777777"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5EA0048A" w14:textId="77777777"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Dokumenty, o których mowa w § 7 ust. 1 pkt 2 lit. b rozporządzenia, powinny być wystawione nie wcześniej niż 6 miesięcy przed upływem terminu składania ofert albo wniosków o dopuszczenie do udziału w postępowaniu. </w:t>
      </w:r>
    </w:p>
    <w:p w14:paraId="3BDB118D" w14:textId="77777777"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w:t>
      </w:r>
      <w:r w:rsidRPr="00EA33CE">
        <w:rPr>
          <w:rFonts w:asciiTheme="minorHAnsi" w:eastAsia="Times New Roman" w:hAnsiTheme="minorHAnsi" w:cs="Times New Roman"/>
          <w:sz w:val="24"/>
          <w:szCs w:val="24"/>
          <w:lang w:eastAsia="pl-PL"/>
        </w:rPr>
        <w:lastRenderedPageBreak/>
        <w:t xml:space="preserve">administracyjnym albo organem samorządu zawodowego lub gospodarczego właściwym ze względu na siedzibę lub miejsce zamieszkania wykonawcy lub miejsce zamieszkania tej osoby. </w:t>
      </w:r>
    </w:p>
    <w:p w14:paraId="5E3D2BE2" w14:textId="77777777"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C958E3" w14:textId="77777777" w:rsidR="00EA33CE" w:rsidRPr="00EA33CE" w:rsidRDefault="00EA33CE" w:rsidP="00EA33CE">
      <w:pPr>
        <w:spacing w:line="240" w:lineRule="auto"/>
        <w:ind w:left="1068"/>
        <w:contextualSpacing/>
        <w:jc w:val="both"/>
        <w:rPr>
          <w:rFonts w:asciiTheme="minorHAnsi" w:eastAsia="Times New Roman" w:hAnsiTheme="minorHAnsi" w:cs="Times New Roman"/>
          <w:sz w:val="24"/>
          <w:szCs w:val="24"/>
          <w:lang w:eastAsia="pl-PL"/>
        </w:rPr>
      </w:pPr>
    </w:p>
    <w:p w14:paraId="2663E9DD"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Zamawiający może żądać, w wyznaczonym przez siebie terminie, wyjaśnień dotyczących wszelkich przedstawionych przez Wykonawcę dokumentów lub oświadczeń. </w:t>
      </w:r>
    </w:p>
    <w:p w14:paraId="620F7E41"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076B5B95"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Art. 26 ust. 3 i 4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ma również zastosowanie w odniesieniu do listy podmiotów należącej do tej sam</w:t>
      </w:r>
      <w:r w:rsidRPr="00EA33CE">
        <w:rPr>
          <w:rFonts w:asciiTheme="minorHAnsi" w:eastAsia="Times New Roman" w:hAnsiTheme="minorHAnsi" w:cs="Times New Roman"/>
          <w:color w:val="000000" w:themeColor="text1"/>
          <w:sz w:val="24"/>
          <w:szCs w:val="24"/>
          <w:lang w:eastAsia="pl-PL"/>
        </w:rPr>
        <w:t>ej grupy kapitałowej lub do informacji o należeniu do niej (Załącznik Nr 3c do SIWZ).</w:t>
      </w:r>
    </w:p>
    <w:p w14:paraId="3CA5200C"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25CB39B0"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Na podstawie art. 26 ust.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0070D9CD" w14:textId="77777777" w:rsidR="00EA33CE" w:rsidRPr="00EA33CE" w:rsidRDefault="00EA33CE" w:rsidP="00EA33CE">
      <w:pPr>
        <w:tabs>
          <w:tab w:val="left" w:pos="1701"/>
        </w:tabs>
        <w:ind w:right="-114"/>
        <w:contextualSpacing/>
        <w:jc w:val="both"/>
        <w:rPr>
          <w:rFonts w:asciiTheme="minorHAnsi" w:eastAsia="Times New Roman" w:hAnsiTheme="minorHAnsi" w:cs="Times New Roman"/>
          <w:b/>
          <w:sz w:val="24"/>
          <w:szCs w:val="24"/>
          <w:lang w:eastAsia="pl-PL"/>
        </w:rPr>
      </w:pPr>
    </w:p>
    <w:p w14:paraId="04603E2E" w14:textId="77777777" w:rsidR="00EA33CE" w:rsidRPr="00EA33CE" w:rsidRDefault="00EA33CE" w:rsidP="00EA33CE">
      <w:pPr>
        <w:numPr>
          <w:ilvl w:val="0"/>
          <w:numId w:val="5"/>
        </w:numPr>
        <w:tabs>
          <w:tab w:val="left" w:pos="408"/>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Informacja o sposobie porozumiewania się Zamawiającego z Wykonawcami oraz przekazywania dokumentów</w:t>
      </w:r>
    </w:p>
    <w:p w14:paraId="7B3E20BB" w14:textId="77777777"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 postępowaniu o udzielenie zamówienia komunikacja między Zamawiającym </w:t>
      </w:r>
      <w:r w:rsidRPr="00EA33CE">
        <w:rPr>
          <w:rFonts w:asciiTheme="minorHAnsi" w:hAnsiTheme="minorHAnsi" w:cstheme="minorHAnsi"/>
          <w:sz w:val="24"/>
          <w:szCs w:val="24"/>
        </w:rPr>
        <w:br/>
        <w:t xml:space="preserve">a Wykonawcami </w:t>
      </w:r>
      <w:r w:rsidRPr="00EA33CE">
        <w:rPr>
          <w:rFonts w:asciiTheme="minorHAnsi" w:hAnsiTheme="minorHAnsi" w:cstheme="minorHAnsi"/>
          <w:color w:val="000000" w:themeColor="text1"/>
          <w:sz w:val="24"/>
          <w:szCs w:val="24"/>
        </w:rPr>
        <w:t xml:space="preserve">odbywa się przy użyciu </w:t>
      </w:r>
      <w:proofErr w:type="spellStart"/>
      <w:r w:rsidRPr="00EA33CE">
        <w:rPr>
          <w:rFonts w:asciiTheme="minorHAnsi" w:hAnsiTheme="minorHAnsi" w:cstheme="minorHAnsi"/>
          <w:color w:val="000000" w:themeColor="text1"/>
          <w:sz w:val="24"/>
          <w:szCs w:val="24"/>
        </w:rPr>
        <w:t>miniPortalu</w:t>
      </w:r>
      <w:proofErr w:type="spellEnd"/>
      <w:r w:rsidRPr="00EA33CE">
        <w:rPr>
          <w:rFonts w:asciiTheme="minorHAnsi" w:hAnsiTheme="minorHAnsi" w:cstheme="minorHAnsi"/>
          <w:color w:val="000000" w:themeColor="text1"/>
          <w:sz w:val="24"/>
          <w:szCs w:val="24"/>
        </w:rPr>
        <w:t xml:space="preserve"> (</w:t>
      </w:r>
      <w:hyperlink r:id="rId9" w:history="1">
        <w:r w:rsidRPr="00EA33CE">
          <w:rPr>
            <w:rStyle w:val="Hipercze"/>
            <w:rFonts w:asciiTheme="minorHAnsi" w:hAnsiTheme="minorHAnsi" w:cstheme="minorHAnsi"/>
            <w:color w:val="000000" w:themeColor="text1"/>
            <w:sz w:val="24"/>
            <w:szCs w:val="24"/>
          </w:rPr>
          <w:t>https://miniportal.uzp.gov.pl/</w:t>
        </w:r>
      </w:hyperlink>
      <w:r w:rsidRPr="00EA33CE">
        <w:rPr>
          <w:rStyle w:val="Hipercze"/>
          <w:rFonts w:asciiTheme="minorHAnsi" w:hAnsiTheme="minorHAnsi" w:cstheme="minorHAnsi"/>
          <w:color w:val="000000" w:themeColor="text1"/>
          <w:sz w:val="24"/>
          <w:szCs w:val="24"/>
        </w:rPr>
        <w:t>)</w:t>
      </w:r>
      <w:r w:rsidRPr="00EA33CE">
        <w:rPr>
          <w:rFonts w:asciiTheme="minorHAnsi" w:hAnsiTheme="minorHAnsi" w:cstheme="minorHAnsi"/>
          <w:color w:val="000000" w:themeColor="text1"/>
          <w:sz w:val="24"/>
          <w:szCs w:val="24"/>
        </w:rPr>
        <w:t xml:space="preserve"> oraz poczty elektronicznej.</w:t>
      </w:r>
    </w:p>
    <w:p w14:paraId="197AB036" w14:textId="77777777"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Wykonawca zamierzający wziąć udział w postępowaniu o udzielenie zamówienia publicznego, musi posiadać konto na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 xml:space="preserve">. Wykonawca posiadający konto na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 xml:space="preserve"> ma dostęp do </w:t>
      </w:r>
      <w:r w:rsidRPr="00EA33CE">
        <w:rPr>
          <w:rFonts w:asciiTheme="minorHAnsi" w:hAnsiTheme="minorHAnsi" w:cstheme="minorHAnsi"/>
          <w:b/>
          <w:sz w:val="24"/>
          <w:szCs w:val="24"/>
        </w:rPr>
        <w:t>formularzy: złożenia, zmiany, wycofania oferty lub wniosku oraz do formularza do komunikacji.</w:t>
      </w:r>
    </w:p>
    <w:p w14:paraId="12C6CF07" w14:textId="77777777"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oraz Regulaminie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w:t>
      </w:r>
    </w:p>
    <w:p w14:paraId="7000F6FD" w14:textId="77777777"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Maksymalny rozmiar plików przesyłanych za pośrednictwem dedykowanych formularzy do: złożenia, zmiany, wycofania oferty lub wniosku oraz do komunikacji wynosi 150 MB.</w:t>
      </w:r>
    </w:p>
    <w:p w14:paraId="701031A2" w14:textId="77777777"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w:t>
      </w:r>
    </w:p>
    <w:p w14:paraId="384CF915" w14:textId="77777777"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Identyfikator postępowania i klucz publiczny dla danego postępowania o udzielenie zamówienia dostępne są na </w:t>
      </w:r>
      <w:r w:rsidRPr="00EA33CE">
        <w:rPr>
          <w:rFonts w:asciiTheme="minorHAnsi" w:hAnsiTheme="minorHAnsi" w:cstheme="minorHAnsi"/>
          <w:i/>
          <w:sz w:val="24"/>
          <w:szCs w:val="24"/>
        </w:rPr>
        <w:t>Liście wszystkich postępowań</w:t>
      </w:r>
      <w:r w:rsidRPr="00EA33CE">
        <w:rPr>
          <w:rFonts w:asciiTheme="minorHAnsi" w:hAnsiTheme="minorHAnsi" w:cstheme="minorHAnsi"/>
          <w:sz w:val="24"/>
          <w:szCs w:val="24"/>
        </w:rPr>
        <w:t xml:space="preserve"> na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oraz stanowi załącznik nr 6 do niniejszej SIWZ. </w:t>
      </w:r>
    </w:p>
    <w:p w14:paraId="7BFC5D63" w14:textId="77777777" w:rsidR="00EA33CE" w:rsidRPr="00EA33CE" w:rsidRDefault="00EA33CE" w:rsidP="00EA33CE">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Zamawiający wyznacza następujące osoby do kontaktu z Wykonawcami:</w:t>
      </w:r>
    </w:p>
    <w:p w14:paraId="1B97991A" w14:textId="77777777" w:rsidR="00EA33CE" w:rsidRPr="00EA33CE" w:rsidRDefault="00EA33CE" w:rsidP="00EA33C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 xml:space="preserve">mgr Kamil Frączek </w:t>
      </w:r>
    </w:p>
    <w:p w14:paraId="21D930EC" w14:textId="77777777" w:rsidR="00EA33CE" w:rsidRPr="00EA33CE" w:rsidRDefault="00EA33CE" w:rsidP="00EA33C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EA33CE">
        <w:rPr>
          <w:rFonts w:asciiTheme="minorHAnsi" w:eastAsia="Times New Roman" w:hAnsiTheme="minorHAnsi" w:cstheme="minorHAnsi"/>
          <w:color w:val="000000" w:themeColor="text1"/>
          <w:sz w:val="24"/>
          <w:szCs w:val="24"/>
          <w:lang w:val="en-US" w:eastAsia="pl-PL"/>
        </w:rPr>
        <w:t xml:space="preserve">tel. +48 516 068 981 </w:t>
      </w:r>
    </w:p>
    <w:p w14:paraId="2436833C" w14:textId="77777777" w:rsidR="00EA33CE" w:rsidRPr="00EA33CE" w:rsidRDefault="00EA33CE" w:rsidP="00EA33C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EA33CE">
        <w:rPr>
          <w:rFonts w:asciiTheme="minorHAnsi" w:eastAsia="Times New Roman" w:hAnsiTheme="minorHAnsi" w:cstheme="minorHAnsi"/>
          <w:color w:val="000000" w:themeColor="text1"/>
          <w:sz w:val="24"/>
          <w:szCs w:val="24"/>
          <w:lang w:val="en-US" w:eastAsia="pl-PL"/>
        </w:rPr>
        <w:t>email: kamil.fraczek@claio.poznan.pl</w:t>
      </w:r>
    </w:p>
    <w:p w14:paraId="5A5562CC" w14:textId="77777777" w:rsidR="00EA33CE" w:rsidRPr="00EA33CE" w:rsidRDefault="00EA33CE" w:rsidP="00EA33CE">
      <w:pPr>
        <w:numPr>
          <w:ilvl w:val="0"/>
          <w:numId w:val="15"/>
        </w:numPr>
        <w:tabs>
          <w:tab w:val="left" w:pos="408"/>
          <w:tab w:val="left" w:pos="567"/>
        </w:tabs>
        <w:autoSpaceDE w:val="0"/>
        <w:autoSpaceDN w:val="0"/>
        <w:adjustRightInd w:val="0"/>
        <w:spacing w:line="240" w:lineRule="auto"/>
        <w:ind w:left="426" w:hanging="426"/>
        <w:jc w:val="both"/>
        <w:rPr>
          <w:rFonts w:asciiTheme="minorHAnsi" w:hAnsiTheme="minorHAnsi" w:cstheme="minorHAnsi"/>
          <w:i/>
          <w:sz w:val="24"/>
          <w:szCs w:val="24"/>
        </w:rPr>
      </w:pPr>
      <w:r w:rsidRPr="00EA33CE">
        <w:rPr>
          <w:rFonts w:asciiTheme="minorHAnsi" w:hAnsiTheme="minorHAnsi" w:cstheme="minorHAnsi"/>
          <w:sz w:val="24"/>
          <w:szCs w:val="24"/>
        </w:rPr>
        <w:t xml:space="preserve">Dokumenty elektroniczne, oświadczenia lub elektroniczne kopie dokumentów lub oświadczeń składane są przez Wykonawcę za pośrednictwem </w:t>
      </w:r>
      <w:r w:rsidRPr="00EA33CE">
        <w:rPr>
          <w:rFonts w:asciiTheme="minorHAnsi" w:hAnsiTheme="minorHAnsi" w:cstheme="minorHAnsi"/>
          <w:i/>
          <w:sz w:val="24"/>
          <w:szCs w:val="24"/>
        </w:rPr>
        <w:t>Formularza do komunikacji</w:t>
      </w:r>
      <w:r w:rsidRPr="00EA33CE">
        <w:rPr>
          <w:rFonts w:asciiTheme="minorHAns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 pkt 7 adres email. Sposób sporządzenia dokumentów elektronicznych, oświadczeń lub elektronicznych kopii dokumentów lub oświadczeń musi być zgody z wymaganiami określonymi w rozporządzeniu Prezesa Rady Ministrów z dnia 27 czerwca 2017 r. </w:t>
      </w:r>
      <w:r w:rsidRPr="00EA33CE">
        <w:rPr>
          <w:rFonts w:asciiTheme="minorHAnsi" w:hAnsiTheme="minorHAnsi" w:cstheme="minorHAnsi"/>
          <w:i/>
          <w:sz w:val="24"/>
          <w:szCs w:val="24"/>
        </w:rPr>
        <w:t xml:space="preserve">w sprawie użycia środków komunikacji elektronicznej w postępowaniu o udzielenie zamówienia publicznego oraz udostępniania i przechowywania dokumentów elektronicznych </w:t>
      </w:r>
      <w:r w:rsidRPr="00EA33CE">
        <w:rPr>
          <w:rFonts w:asciiTheme="minorHAnsi" w:hAnsiTheme="minorHAnsi" w:cstheme="minorHAnsi"/>
          <w:sz w:val="24"/>
          <w:szCs w:val="24"/>
        </w:rPr>
        <w:t xml:space="preserve">oraz rozporządzeniu Ministra Rozwoju z dnia 26 lipca 2016 r. </w:t>
      </w:r>
      <w:r w:rsidRPr="00EA33CE">
        <w:rPr>
          <w:rFonts w:asciiTheme="minorHAnsi" w:hAnsiTheme="minorHAnsi" w:cstheme="minorHAnsi"/>
          <w:i/>
          <w:sz w:val="24"/>
          <w:szCs w:val="24"/>
        </w:rPr>
        <w:t>w sprawie rodzajów dokumentów, jakich może żądać zamawiający od wykonawcy w postępowaniu o udzielenie zamówienia.</w:t>
      </w:r>
    </w:p>
    <w:p w14:paraId="18BC0953" w14:textId="77777777"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BE6722" w14:textId="77777777"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23873CC0" w14:textId="77777777"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Przedłużenie terminu składania ofert nie wpływa na bieg terminu składania wniosku o wyjaśnienie treści SIWZ.</w:t>
      </w:r>
    </w:p>
    <w:p w14:paraId="16324A7A" w14:textId="77777777"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Treść zapytań wraz z wyjaśnieniami Zamawiający zamieści na stronie internetowej Zamawiającego.</w:t>
      </w:r>
    </w:p>
    <w:p w14:paraId="225FD631" w14:textId="77777777"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Zamawiający nie będzie zwoływać zebrania wszystkich Wykonawców w celu wyjaśnienia wątpliwości dotyczących treści SIWZ.</w:t>
      </w:r>
    </w:p>
    <w:p w14:paraId="51A8E9E8" w14:textId="77777777"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heme="minorHAnsi"/>
          <w:sz w:val="24"/>
          <w:szCs w:val="24"/>
          <w:lang w:eastAsia="pl-PL"/>
        </w:rPr>
        <w:t>W uzasadnionych przypadkach</w:t>
      </w:r>
      <w:r w:rsidRPr="00EA33CE">
        <w:rPr>
          <w:rFonts w:asciiTheme="minorHAnsi" w:eastAsia="Times New Roman" w:hAnsiTheme="minorHAnsi"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58225224" w14:textId="77777777"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Jeżeli w wyniku zmiany treści SIWZ nie prowadzącej do zmiany treści ogłoszenia o zamówieniu jest niezbędny dodatkowy czas na wprowadzenie zmian w ofertach, </w:t>
      </w:r>
      <w:r w:rsidRPr="00EA33CE">
        <w:rPr>
          <w:rFonts w:asciiTheme="minorHAnsi" w:eastAsia="Times New Roman" w:hAnsiTheme="minorHAnsi" w:cs="Times New Roman"/>
          <w:sz w:val="24"/>
          <w:szCs w:val="24"/>
          <w:lang w:eastAsia="pl-PL"/>
        </w:rPr>
        <w:lastRenderedPageBreak/>
        <w:t>Zamawiający przedłuża termin składania ofert i informuje o tym Wykonawców, którym przekazano SIWZ, oraz zamieszcza informację na stronie internetowej.</w:t>
      </w:r>
    </w:p>
    <w:p w14:paraId="37B623F8" w14:textId="77777777"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18EA25B" w14:textId="77777777"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7F75EEA" w14:textId="77777777" w:rsidR="00EA33CE" w:rsidRPr="00EA33CE" w:rsidRDefault="00EA33CE" w:rsidP="00EA33CE">
      <w:pPr>
        <w:tabs>
          <w:tab w:val="left" w:pos="426"/>
        </w:tabs>
        <w:contextualSpacing/>
        <w:jc w:val="both"/>
        <w:rPr>
          <w:rFonts w:asciiTheme="minorHAnsi" w:eastAsia="Times New Roman" w:hAnsiTheme="minorHAnsi" w:cs="Times New Roman"/>
          <w:b/>
          <w:sz w:val="24"/>
          <w:szCs w:val="24"/>
          <w:lang w:eastAsia="pl-PL"/>
        </w:rPr>
      </w:pPr>
    </w:p>
    <w:p w14:paraId="28011964"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Wymagania dotyczące wadium</w:t>
      </w:r>
    </w:p>
    <w:p w14:paraId="4D37D7C3" w14:textId="77777777" w:rsidR="00EA33CE" w:rsidRPr="00D01E90"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Oferta musi być </w:t>
      </w:r>
      <w:r w:rsidRPr="00D01E90">
        <w:rPr>
          <w:rFonts w:asciiTheme="minorHAnsi" w:eastAsia="Times New Roman" w:hAnsiTheme="minorHAnsi" w:cstheme="minorHAnsi"/>
          <w:sz w:val="24"/>
          <w:szCs w:val="24"/>
          <w:lang w:eastAsia="pl-PL"/>
        </w:rPr>
        <w:t>zabezpieczona wadium w wysokości:</w:t>
      </w:r>
    </w:p>
    <w:p w14:paraId="725D23C9" w14:textId="3D1A4094" w:rsidR="00EA33CE" w:rsidRPr="00D01E90" w:rsidRDefault="00EA33CE" w:rsidP="00EA33CE">
      <w:pPr>
        <w:pStyle w:val="Akapitzlist"/>
        <w:spacing w:after="0" w:line="240" w:lineRule="auto"/>
        <w:ind w:left="567" w:hanging="567"/>
        <w:jc w:val="both"/>
        <w:rPr>
          <w:rFonts w:eastAsia="Times New Roman" w:cstheme="minorHAnsi"/>
          <w:sz w:val="24"/>
          <w:szCs w:val="24"/>
          <w:lang w:eastAsia="pl-PL"/>
        </w:rPr>
      </w:pPr>
      <w:r w:rsidRPr="00D01E90">
        <w:rPr>
          <w:rFonts w:eastAsia="Times New Roman" w:cstheme="minorHAnsi"/>
          <w:sz w:val="24"/>
          <w:szCs w:val="24"/>
          <w:lang w:eastAsia="pl-PL"/>
        </w:rPr>
        <w:t xml:space="preserve">- </w:t>
      </w:r>
      <w:r w:rsidR="00CD4B0C" w:rsidRPr="00D01E90">
        <w:rPr>
          <w:rFonts w:eastAsia="Times New Roman" w:cstheme="minorHAnsi"/>
          <w:sz w:val="24"/>
          <w:szCs w:val="24"/>
          <w:lang w:eastAsia="pl-PL"/>
        </w:rPr>
        <w:t>3</w:t>
      </w:r>
      <w:r w:rsidRPr="00D01E90">
        <w:rPr>
          <w:rFonts w:eastAsia="Times New Roman" w:cstheme="minorHAnsi"/>
          <w:sz w:val="24"/>
          <w:szCs w:val="24"/>
          <w:lang w:eastAsia="pl-PL"/>
        </w:rPr>
        <w:t xml:space="preserve">0.000,00 zł </w:t>
      </w:r>
      <w:r w:rsidRPr="00D01E90">
        <w:rPr>
          <w:rFonts w:eastAsia="Times New Roman" w:cstheme="minorHAnsi"/>
          <w:bCs/>
          <w:sz w:val="24"/>
          <w:szCs w:val="24"/>
          <w:lang w:eastAsia="pl-PL"/>
        </w:rPr>
        <w:t>(</w:t>
      </w:r>
      <w:r w:rsidR="00CD4B0C" w:rsidRPr="00D01E90">
        <w:rPr>
          <w:rFonts w:eastAsia="Times New Roman" w:cstheme="minorHAnsi"/>
          <w:bCs/>
          <w:sz w:val="24"/>
          <w:szCs w:val="24"/>
          <w:lang w:eastAsia="pl-PL"/>
        </w:rPr>
        <w:t>trzydzieści</w:t>
      </w:r>
      <w:r w:rsidRPr="00D01E90">
        <w:rPr>
          <w:rFonts w:eastAsia="Times New Roman" w:cstheme="minorHAnsi"/>
          <w:bCs/>
          <w:sz w:val="24"/>
          <w:szCs w:val="24"/>
          <w:lang w:eastAsia="pl-PL"/>
        </w:rPr>
        <w:t xml:space="preserve"> tysięcy złotych 00/100), </w:t>
      </w:r>
    </w:p>
    <w:p w14:paraId="7A32CEF3" w14:textId="77777777" w:rsidR="00EA33CE" w:rsidRPr="00D01E90" w:rsidRDefault="00EA33CE" w:rsidP="00EA33CE">
      <w:pPr>
        <w:spacing w:line="240" w:lineRule="auto"/>
        <w:ind w:left="567" w:hanging="567"/>
        <w:jc w:val="both"/>
        <w:rPr>
          <w:rFonts w:asciiTheme="minorHAnsi" w:eastAsia="Times New Roman" w:hAnsiTheme="minorHAnsi" w:cstheme="minorHAnsi"/>
          <w:sz w:val="24"/>
          <w:szCs w:val="24"/>
          <w:u w:val="single"/>
          <w:lang w:eastAsia="pl-PL"/>
        </w:rPr>
      </w:pPr>
      <w:r w:rsidRPr="00D01E90">
        <w:rPr>
          <w:rFonts w:asciiTheme="minorHAnsi" w:eastAsia="Times New Roman" w:hAnsiTheme="minorHAnsi" w:cstheme="minorHAnsi"/>
          <w:sz w:val="24"/>
          <w:szCs w:val="24"/>
          <w:u w:val="single"/>
          <w:lang w:eastAsia="pl-PL"/>
        </w:rPr>
        <w:t>wniesionym przed upływem terminu składania ofert.</w:t>
      </w:r>
    </w:p>
    <w:p w14:paraId="0A3A4714" w14:textId="77777777" w:rsidR="00EA33CE" w:rsidRPr="00EA33CE" w:rsidRDefault="00EA33CE" w:rsidP="00EA33CE">
      <w:pPr>
        <w:spacing w:line="240" w:lineRule="auto"/>
        <w:ind w:left="567" w:hanging="567"/>
        <w:jc w:val="both"/>
        <w:rPr>
          <w:rFonts w:asciiTheme="minorHAnsi" w:eastAsia="Times New Roman" w:hAnsiTheme="minorHAnsi" w:cstheme="minorHAnsi"/>
          <w:sz w:val="24"/>
          <w:szCs w:val="24"/>
          <w:lang w:eastAsia="pl-PL"/>
        </w:rPr>
      </w:pPr>
      <w:r w:rsidRPr="00D01E90">
        <w:rPr>
          <w:rFonts w:asciiTheme="minorHAnsi" w:hAnsiTheme="minorHAnsi" w:cstheme="minorHAnsi"/>
          <w:sz w:val="24"/>
          <w:szCs w:val="24"/>
        </w:rPr>
        <w:t>Niewniesienie wadium</w:t>
      </w:r>
      <w:r w:rsidRPr="00EA33CE">
        <w:rPr>
          <w:rFonts w:asciiTheme="minorHAnsi" w:hAnsiTheme="minorHAnsi" w:cstheme="minorHAnsi"/>
          <w:sz w:val="24"/>
          <w:szCs w:val="24"/>
        </w:rPr>
        <w:t xml:space="preserve"> do upływu terminu składania ofert lub wniesienie w sposób nieprawidłowy, spowoduje odrzucenie oferty wykonawcy zgodnie z art. 89 ust. 1 pkt 7b ustawy </w:t>
      </w:r>
      <w:proofErr w:type="spellStart"/>
      <w:r w:rsidRPr="00EA33CE">
        <w:rPr>
          <w:rFonts w:asciiTheme="minorHAnsi" w:hAnsiTheme="minorHAnsi" w:cstheme="minorHAnsi"/>
          <w:sz w:val="24"/>
          <w:szCs w:val="24"/>
        </w:rPr>
        <w:t>Pzp</w:t>
      </w:r>
      <w:proofErr w:type="spellEnd"/>
      <w:r w:rsidRPr="00EA33CE">
        <w:rPr>
          <w:rFonts w:asciiTheme="minorHAnsi" w:hAnsiTheme="minorHAnsi" w:cstheme="minorHAnsi"/>
          <w:sz w:val="24"/>
          <w:szCs w:val="24"/>
        </w:rPr>
        <w:t>.</w:t>
      </w:r>
    </w:p>
    <w:p w14:paraId="78C5750C"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14:paraId="4A2842B2"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EA33CE">
        <w:rPr>
          <w:rFonts w:asciiTheme="minorHAnsi" w:hAnsiTheme="minorHAnsi" w:cstheme="minorHAnsi"/>
          <w:sz w:val="24"/>
          <w:szCs w:val="24"/>
        </w:rPr>
        <w:t>Pzp</w:t>
      </w:r>
      <w:proofErr w:type="spellEnd"/>
      <w:r w:rsidRPr="00EA33CE">
        <w:rPr>
          <w:rFonts w:asciiTheme="minorHAnsi" w:hAnsiTheme="minorHAnsi" w:cstheme="minorHAnsi"/>
          <w:sz w:val="24"/>
          <w:szCs w:val="24"/>
        </w:rPr>
        <w:t>.</w:t>
      </w:r>
    </w:p>
    <w:p w14:paraId="059391E4"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Wadium może być wnoszone w jednej lub kilku następujących formach:</w:t>
      </w:r>
    </w:p>
    <w:p w14:paraId="09508889" w14:textId="77777777" w:rsidR="00EA33CE" w:rsidRPr="00EA33CE" w:rsidRDefault="00EA33CE" w:rsidP="00EA33CE">
      <w:pPr>
        <w:pStyle w:val="Akapitzlist"/>
        <w:numPr>
          <w:ilvl w:val="0"/>
          <w:numId w:val="23"/>
        </w:numPr>
        <w:spacing w:after="0" w:line="240" w:lineRule="auto"/>
        <w:ind w:left="567" w:firstLine="0"/>
        <w:contextualSpacing w:val="0"/>
        <w:jc w:val="both"/>
        <w:rPr>
          <w:rFonts w:cstheme="minorHAnsi"/>
          <w:b/>
          <w:i/>
          <w:sz w:val="24"/>
          <w:szCs w:val="24"/>
        </w:rPr>
      </w:pPr>
      <w:r w:rsidRPr="00EA33CE">
        <w:rPr>
          <w:rFonts w:cstheme="minorHAnsi"/>
          <w:sz w:val="24"/>
          <w:szCs w:val="24"/>
        </w:rPr>
        <w:t>pieniądzu;</w:t>
      </w:r>
    </w:p>
    <w:p w14:paraId="7192A5CA" w14:textId="77777777"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poręczeniach bankowych lub poręczeniach spółdzielczej kasy oszczędnościowo-kredytowej, z tym że poręczenie kasy jest zawsze poręczeniem pieniężnym;</w:t>
      </w:r>
    </w:p>
    <w:p w14:paraId="21EF352A" w14:textId="77777777"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gwarancjach bankowych;</w:t>
      </w:r>
    </w:p>
    <w:p w14:paraId="70D74C9E" w14:textId="77777777"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gwarancjach ubezpieczeniowych,</w:t>
      </w:r>
    </w:p>
    <w:p w14:paraId="0EA34ABA" w14:textId="77777777"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poręczeniach udzielanych przez podmioty, o których mowa w art. 6b ust. 5 pkt 2 ustawy z dnia 9 listopada 2000 r. o utworzeniu Polskiej Agencji Rozwoju Przedsiębiorczości (tekst jedn. Dz. U. z 2016 r., poz. 359 ze zm.).</w:t>
      </w:r>
    </w:p>
    <w:p w14:paraId="297688D4"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Wniesione wadium musi zabezpieczać ofertę Wykonawcy przez cały okres związania ofertą.</w:t>
      </w:r>
    </w:p>
    <w:p w14:paraId="436BFCE4"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lastRenderedPageBreak/>
        <w:t xml:space="preserve">Wadium wnoszone w pieniądzu należy wpłacić przelewem na rachunek bankowy: </w:t>
      </w:r>
      <w:r w:rsidRPr="00EA33CE">
        <w:rPr>
          <w:rFonts w:asciiTheme="minorHAnsi" w:eastAsia="Times New Roman" w:hAnsiTheme="minorHAnsi" w:cstheme="minorHAnsi"/>
          <w:b/>
          <w:sz w:val="24"/>
          <w:szCs w:val="24"/>
          <w:lang w:eastAsia="pl-PL"/>
        </w:rPr>
        <w:t>Santander Bank Polska S.A.</w:t>
      </w:r>
      <w:r w:rsidRPr="00EA33CE">
        <w:rPr>
          <w:rFonts w:asciiTheme="minorHAnsi" w:eastAsia="Times New Roman" w:hAnsiTheme="minorHAnsi" w:cstheme="minorHAnsi"/>
          <w:sz w:val="24"/>
          <w:szCs w:val="24"/>
          <w:lang w:eastAsia="pl-PL"/>
        </w:rPr>
        <w:t xml:space="preserve">, numer konta </w:t>
      </w:r>
      <w:r w:rsidRPr="00EA33CE">
        <w:rPr>
          <w:rFonts w:asciiTheme="minorHAnsi" w:eastAsia="Times New Roman" w:hAnsiTheme="minorHAnsi" w:cstheme="minorHAnsi"/>
          <w:b/>
          <w:sz w:val="24"/>
          <w:szCs w:val="24"/>
          <w:lang w:eastAsia="pl-PL"/>
        </w:rPr>
        <w:t>73 1090 1346 0000 0000 3400 0300</w:t>
      </w:r>
      <w:r w:rsidRPr="00EA33CE">
        <w:rPr>
          <w:rFonts w:asciiTheme="minorHAnsi" w:eastAsia="Times New Roman" w:hAnsiTheme="minorHAnsi" w:cstheme="minorHAnsi"/>
          <w:sz w:val="24"/>
          <w:szCs w:val="24"/>
          <w:lang w:eastAsia="pl-PL"/>
        </w:rPr>
        <w:t>.</w:t>
      </w:r>
    </w:p>
    <w:p w14:paraId="20D1826F" w14:textId="77777777" w:rsidR="00EA33CE" w:rsidRPr="00EA33CE" w:rsidRDefault="00EA33CE" w:rsidP="00EA33CE">
      <w:pPr>
        <w:spacing w:line="240" w:lineRule="auto"/>
        <w:ind w:left="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 przypadku Wykonawców, którzy wnoszą wadium w innej walucie niż PLN, Zamawiający przeliczy ich wartość według średniego kursu NBP </w:t>
      </w:r>
      <w:r w:rsidRPr="00EA33CE">
        <w:rPr>
          <w:rFonts w:asciiTheme="minorHAnsi" w:hAnsiTheme="minorHAnsi" w:cstheme="minorHAnsi"/>
          <w:sz w:val="24"/>
          <w:szCs w:val="24"/>
          <w:lang w:eastAsia="pl-PL"/>
        </w:rPr>
        <w:t xml:space="preserve">na dzień zamieszczenia ogłoszenia o zamówieniu w Dzienniku Urzędowym Unii Europejskiej. W przypadku gdy w dniu publikacji ogłoszenia, NBP nie opublikował średnich kursów walut Zamawiający przyjmie pierwszy opublikowany po tej dacie średni kurs NBP; </w:t>
      </w:r>
    </w:p>
    <w:p w14:paraId="20859A5E" w14:textId="769AA459" w:rsidR="00EA33CE" w:rsidRPr="0062234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W przypadku wniesienia wadium w pieniądzu, Zamawiający uzna, iż będzie ono wniesione skutecznie jedynie w przypadku </w:t>
      </w:r>
      <w:r w:rsidRPr="0062234E">
        <w:rPr>
          <w:rFonts w:asciiTheme="minorHAnsi" w:eastAsia="Times New Roman" w:hAnsiTheme="minorHAnsi" w:cstheme="minorHAnsi"/>
          <w:sz w:val="24"/>
          <w:szCs w:val="24"/>
          <w:lang w:eastAsia="pl-PL"/>
        </w:rPr>
        <w:t>wpływu pieniędzy na konto Zamawiającego przed upływem terminu składania ofert. Na poleceniu</w:t>
      </w:r>
      <w:r w:rsidRPr="0062234E">
        <w:rPr>
          <w:rFonts w:asciiTheme="minorHAnsi" w:eastAsia="Times New Roman" w:hAnsiTheme="minorHAnsi" w:cstheme="minorHAnsi"/>
          <w:color w:val="000000" w:themeColor="text1"/>
          <w:sz w:val="24"/>
          <w:szCs w:val="24"/>
          <w:lang w:eastAsia="pl-PL"/>
        </w:rPr>
        <w:t xml:space="preserve"> przelewu należy zamieścić adnotację: „dotyczy przetargu – numer sprawy</w:t>
      </w:r>
      <w:r w:rsidRPr="0062234E">
        <w:rPr>
          <w:rFonts w:asciiTheme="minorHAnsi" w:eastAsia="Times New Roman" w:hAnsiTheme="minorHAnsi" w:cstheme="minorHAnsi"/>
          <w:sz w:val="24"/>
          <w:szCs w:val="24"/>
          <w:lang w:eastAsia="pl-PL"/>
        </w:rPr>
        <w:t xml:space="preserve"> </w:t>
      </w:r>
      <w:r w:rsidR="00D01E90">
        <w:rPr>
          <w:rFonts w:asciiTheme="minorHAnsi" w:eastAsia="Times New Roman" w:hAnsiTheme="minorHAnsi" w:cstheme="minorHAnsi"/>
          <w:b/>
          <w:color w:val="000000" w:themeColor="text1"/>
          <w:sz w:val="24"/>
          <w:szCs w:val="24"/>
          <w:lang w:eastAsia="pl-PL"/>
        </w:rPr>
        <w:t>1/PN/2020</w:t>
      </w:r>
      <w:r w:rsidRPr="0062234E">
        <w:rPr>
          <w:rFonts w:asciiTheme="minorHAnsi" w:eastAsia="Times New Roman" w:hAnsiTheme="minorHAnsi" w:cstheme="minorHAnsi"/>
          <w:color w:val="000000" w:themeColor="text1"/>
          <w:sz w:val="24"/>
          <w:szCs w:val="24"/>
          <w:lang w:eastAsia="pl-PL"/>
        </w:rPr>
        <w:t>”.</w:t>
      </w:r>
    </w:p>
    <w:p w14:paraId="407FCAE9"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62234E">
        <w:rPr>
          <w:rFonts w:asciiTheme="minorHAnsi" w:hAnsiTheme="minorHAnsi"/>
          <w:bCs/>
          <w:color w:val="000000"/>
          <w:sz w:val="24"/>
          <w:szCs w:val="24"/>
        </w:rPr>
        <w:t>Wadium w formie niepieniężnej powinno być</w:t>
      </w:r>
      <w:r w:rsidRPr="00EA33CE">
        <w:rPr>
          <w:rFonts w:asciiTheme="minorHAnsi" w:hAnsiTheme="minorHAnsi"/>
          <w:bCs/>
          <w:color w:val="000000"/>
          <w:sz w:val="24"/>
          <w:szCs w:val="24"/>
        </w:rPr>
        <w:t xml:space="preserve"> wniesione w oryginale w formie elektronicznej opatrzonej podpisem kwalifikowanym. </w:t>
      </w:r>
      <w:r w:rsidRPr="00EA33CE">
        <w:rPr>
          <w:rStyle w:val="Pogrubienie"/>
          <w:rFonts w:asciiTheme="minorHAnsi" w:hAnsiTheme="minorHAnsi"/>
          <w:sz w:val="24"/>
          <w:szCs w:val="24"/>
        </w:rPr>
        <w:t xml:space="preserve">Wniesienie dokumentu wadium w postaci elektronicznej powinno obejmować przekazanie tego dokumentu w takiej formie w jakiej został on ustanowiony przez gwaranta, tj. oryginału dokumentu. </w:t>
      </w:r>
      <w:r w:rsidRPr="00EA33CE">
        <w:rPr>
          <w:rFonts w:asciiTheme="minorHAnsi" w:hAnsiTheme="minorHAnsi"/>
          <w:sz w:val="24"/>
          <w:szCs w:val="24"/>
        </w:rPr>
        <w:t xml:space="preserve">Z treści dokumentu winno wynikać bezwarunkowe zobowiązanie Gwaranta do wypłaty Zamawiającemu pełnej kwoty wadium w okolicznościach określonych w art. 46 ust. 4a oraz art. 46 ust. 5 ustawy </w:t>
      </w:r>
      <w:proofErr w:type="spellStart"/>
      <w:r w:rsidRPr="00EA33CE">
        <w:rPr>
          <w:rFonts w:asciiTheme="minorHAnsi" w:hAnsiTheme="minorHAnsi"/>
          <w:sz w:val="24"/>
          <w:szCs w:val="24"/>
        </w:rPr>
        <w:t>Pzp</w:t>
      </w:r>
      <w:proofErr w:type="spellEnd"/>
      <w:r w:rsidRPr="00EA33CE">
        <w:rPr>
          <w:rFonts w:asciiTheme="minorHAnsi" w:hAnsiTheme="minorHAnsi"/>
          <w:sz w:val="24"/>
          <w:szCs w:val="24"/>
        </w:rPr>
        <w:t xml:space="preserve"> na każde pisemne żądanie zgłoszone przez Zamawiającego w terminie związania ofertą.</w:t>
      </w:r>
    </w:p>
    <w:p w14:paraId="0198206B"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 xml:space="preserve">Wadium należy wnieść przed upływem terminu składania ofert. W przypadku wniesienia wadium w formie pieniężnej termin wniesienia wadium jest terminem uznania wpłaty na rachunku bankowym Zamawiającego przed upływem terminu składania ofert.  </w:t>
      </w:r>
    </w:p>
    <w:p w14:paraId="44205F32"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EA33CE">
        <w:rPr>
          <w:rFonts w:asciiTheme="minorHAnsi" w:hAnsiTheme="minorHAnsi"/>
          <w:sz w:val="24"/>
          <w:szCs w:val="24"/>
        </w:rPr>
        <w:t>Pzp</w:t>
      </w:r>
      <w:proofErr w:type="spellEnd"/>
      <w:r w:rsidRPr="00EA33CE">
        <w:rPr>
          <w:rFonts w:asciiTheme="minorHAnsi" w:hAnsiTheme="minorHAnsi"/>
          <w:sz w:val="24"/>
          <w:szCs w:val="24"/>
        </w:rPr>
        <w:t>.</w:t>
      </w:r>
    </w:p>
    <w:p w14:paraId="28F0CF18"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Wymienione gwarancje i poręczenia nie mogą wprowadzać żadnych dodatkowych warunków merytorycznych.</w:t>
      </w:r>
    </w:p>
    <w:p w14:paraId="39458710"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 xml:space="preserve">Zamawiający dokona zwrotu wadium na zasadach określonych w art. 46 ustawy </w:t>
      </w:r>
      <w:proofErr w:type="spellStart"/>
      <w:r w:rsidRPr="00EA33CE">
        <w:rPr>
          <w:rFonts w:asciiTheme="minorHAnsi" w:hAnsiTheme="minorHAnsi"/>
          <w:sz w:val="24"/>
          <w:szCs w:val="24"/>
        </w:rPr>
        <w:t>Pzp</w:t>
      </w:r>
      <w:proofErr w:type="spellEnd"/>
      <w:r w:rsidRPr="00EA33CE">
        <w:rPr>
          <w:rFonts w:asciiTheme="minorHAnsi" w:hAnsiTheme="minorHAnsi"/>
          <w:sz w:val="24"/>
          <w:szCs w:val="24"/>
        </w:rPr>
        <w:t>.</w:t>
      </w:r>
    </w:p>
    <w:p w14:paraId="3B5B4542"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Zamawiający zwróci niezwłocznie wadium na wniosek Wykonawcy, który wycofał ofertę przed upływem terminu składania ofert.</w:t>
      </w:r>
    </w:p>
    <w:p w14:paraId="377CC3A7"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14:paraId="486AACDE" w14:textId="77777777" w:rsidR="00EA33CE" w:rsidRPr="00EA33CE" w:rsidRDefault="00EA33CE" w:rsidP="00EA33CE">
      <w:pPr>
        <w:tabs>
          <w:tab w:val="left" w:pos="567"/>
        </w:tabs>
        <w:contextualSpacing/>
        <w:jc w:val="both"/>
        <w:rPr>
          <w:rFonts w:asciiTheme="minorHAnsi" w:eastAsia="Times New Roman" w:hAnsiTheme="minorHAnsi" w:cs="Times New Roman"/>
          <w:b/>
          <w:sz w:val="24"/>
          <w:szCs w:val="24"/>
          <w:lang w:eastAsia="pl-PL"/>
        </w:rPr>
      </w:pPr>
    </w:p>
    <w:p w14:paraId="3F769A43"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Termin związania ofertą</w:t>
      </w:r>
    </w:p>
    <w:p w14:paraId="4408DF78" w14:textId="77777777"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W niniejszym postępowaniu termin związania ofertą wynosi </w:t>
      </w:r>
      <w:r w:rsidRPr="00EA33CE">
        <w:rPr>
          <w:rFonts w:asciiTheme="minorHAnsi" w:eastAsia="Times New Roman" w:hAnsiTheme="minorHAnsi" w:cs="Times New Roman"/>
          <w:b/>
          <w:sz w:val="24"/>
          <w:szCs w:val="24"/>
          <w:lang w:eastAsia="pl-PL"/>
        </w:rPr>
        <w:t xml:space="preserve">60 dni </w:t>
      </w:r>
      <w:r w:rsidRPr="00EA33CE">
        <w:rPr>
          <w:rFonts w:asciiTheme="minorHAnsi" w:eastAsia="Times New Roman" w:hAnsiTheme="minorHAnsi" w:cs="Times New Roman"/>
          <w:sz w:val="24"/>
          <w:szCs w:val="24"/>
          <w:lang w:eastAsia="pl-PL"/>
        </w:rPr>
        <w:t>od dnia składania ofert.</w:t>
      </w:r>
    </w:p>
    <w:p w14:paraId="2371E459"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6351F76E"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Opis sposobu przygotowania ofert</w:t>
      </w:r>
    </w:p>
    <w:p w14:paraId="5A8E33A4" w14:textId="77777777" w:rsidR="00EA33CE" w:rsidRPr="00EA33CE" w:rsidRDefault="00EA33CE" w:rsidP="00EA33CE">
      <w:pPr>
        <w:contextualSpacing/>
        <w:jc w:val="both"/>
        <w:rPr>
          <w:rFonts w:asciiTheme="minorHAnsi" w:eastAsia="Times New Roman" w:hAnsiTheme="minorHAnsi" w:cstheme="minorHAnsi"/>
          <w:b/>
          <w:sz w:val="24"/>
          <w:szCs w:val="24"/>
          <w:lang w:eastAsia="pl-PL"/>
        </w:rPr>
      </w:pPr>
    </w:p>
    <w:p w14:paraId="1C5FFE03"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Ofertę, należy składać za pośrednictwem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w:t>
      </w:r>
      <w:hyperlink r:id="rId10" w:history="1">
        <w:r w:rsidRPr="00EA33CE">
          <w:rPr>
            <w:rStyle w:val="Hipercze"/>
            <w:rFonts w:asciiTheme="minorHAnsi" w:hAnsiTheme="minorHAnsi" w:cstheme="minorHAnsi"/>
            <w:sz w:val="24"/>
            <w:szCs w:val="24"/>
          </w:rPr>
          <w:t>https://miniportal.uzp.gov.pl/</w:t>
        </w:r>
      </w:hyperlink>
      <w:r w:rsidRPr="00EA33CE">
        <w:rPr>
          <w:rFonts w:asciiTheme="minorHAnsi" w:hAnsiTheme="minorHAnsi" w:cstheme="minorHAnsi"/>
          <w:sz w:val="24"/>
          <w:szCs w:val="24"/>
        </w:rPr>
        <w:t>.</w:t>
      </w:r>
    </w:p>
    <w:p w14:paraId="29A06DFE"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bCs/>
          <w:color w:val="000000"/>
          <w:sz w:val="24"/>
          <w:szCs w:val="24"/>
          <w:lang w:eastAsia="pl-PL"/>
        </w:rPr>
        <w:t>Wykonawca może złożyć tylko jedną ofertę.</w:t>
      </w:r>
    </w:p>
    <w:p w14:paraId="0AA865E5"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Ofertę należy przygotować w oparciu o wymagania określone w SIWZ.</w:t>
      </w:r>
    </w:p>
    <w:p w14:paraId="7959B3A4"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olor w:val="000000"/>
          <w:sz w:val="24"/>
          <w:szCs w:val="24"/>
        </w:rPr>
        <w:t xml:space="preserve">Oferta musi być podpisana przez osobę(y) upoważnioną(e) do reprezentowania Wykonawcy. </w:t>
      </w:r>
    </w:p>
    <w:p w14:paraId="014D964A" w14:textId="77777777" w:rsidR="00EA33CE" w:rsidRPr="00EA33CE" w:rsidRDefault="00EA33CE" w:rsidP="00EA33CE">
      <w:pPr>
        <w:tabs>
          <w:tab w:val="num" w:pos="567"/>
        </w:tabs>
        <w:spacing w:line="240" w:lineRule="auto"/>
        <w:ind w:left="567"/>
        <w:jc w:val="both"/>
        <w:rPr>
          <w:rFonts w:asciiTheme="minorHAnsi" w:eastAsia="Times New Roman" w:hAnsiTheme="minorHAnsi" w:cstheme="minorHAnsi"/>
          <w:sz w:val="24"/>
          <w:szCs w:val="24"/>
          <w:lang w:eastAsia="pl-PL"/>
        </w:rPr>
      </w:pPr>
      <w:r w:rsidRPr="00EA33CE">
        <w:rPr>
          <w:rFonts w:asciiTheme="minorHAnsi" w:hAnsiTheme="minorHAnsi"/>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EA33CE">
        <w:rPr>
          <w:rFonts w:asciiTheme="minorHAnsi" w:hAnsiTheme="minorHAnsi"/>
          <w:sz w:val="24"/>
          <w:szCs w:val="24"/>
        </w:rPr>
        <w:t xml:space="preserve">lub kopii poświadczonej przez notariusza w postaci dokumentu elektronicznego opatrzonego kwalifikowanym podpisem elektronicznym </w:t>
      </w:r>
      <w:r w:rsidRPr="00EA33CE">
        <w:rPr>
          <w:rFonts w:asciiTheme="minorHAnsi" w:hAnsiTheme="minorHAnsi"/>
          <w:color w:val="000000"/>
          <w:sz w:val="24"/>
          <w:szCs w:val="24"/>
        </w:rPr>
        <w:t>wystawionego przez osoby do tego upoważnione.</w:t>
      </w:r>
    </w:p>
    <w:p w14:paraId="188B442A"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Zaleca się, by wzory dokumentów dołączonych do SIWZ były wypełnione przez Wykonawcę i dołączone do oferty, bądź też przygotowane przez Wykonawcę, w zgodnej z SIWZ formie.</w:t>
      </w:r>
    </w:p>
    <w:p w14:paraId="31C2CA57"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Wykonawca ponosi wszelkie koszty związane z przygotowaniem i złożeniem oferty.</w:t>
      </w:r>
    </w:p>
    <w:p w14:paraId="18D92ABC"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Oferta powinna być sporządzona w języku polskim, z zachowaniem postaci elektronicznej w formacie danych .pdf, .</w:t>
      </w:r>
      <w:proofErr w:type="spellStart"/>
      <w:r w:rsidRPr="00EA33CE">
        <w:rPr>
          <w:rFonts w:asciiTheme="minorHAnsi" w:hAnsiTheme="minorHAnsi"/>
          <w:sz w:val="24"/>
          <w:szCs w:val="24"/>
        </w:rPr>
        <w:t>doc</w:t>
      </w:r>
      <w:proofErr w:type="spellEnd"/>
      <w:r w:rsidRPr="00EA33CE">
        <w:rPr>
          <w:rFonts w:asciiTheme="minorHAnsi" w:hAnsiTheme="minorHAnsi"/>
          <w:sz w:val="24"/>
          <w:szCs w:val="24"/>
        </w:rPr>
        <w:t>, .</w:t>
      </w:r>
      <w:proofErr w:type="spellStart"/>
      <w:r w:rsidRPr="00EA33CE">
        <w:rPr>
          <w:rFonts w:asciiTheme="minorHAnsi" w:hAnsiTheme="minorHAnsi"/>
          <w:sz w:val="24"/>
          <w:szCs w:val="24"/>
        </w:rPr>
        <w:t>docx</w:t>
      </w:r>
      <w:proofErr w:type="spellEnd"/>
      <w:r w:rsidRPr="00EA33CE">
        <w:rPr>
          <w:rFonts w:asciiTheme="minorHAnsi" w:hAnsiTheme="minorHAnsi"/>
          <w:sz w:val="24"/>
          <w:szCs w:val="24"/>
        </w:rPr>
        <w:t>, .rtf, .</w:t>
      </w:r>
      <w:proofErr w:type="spellStart"/>
      <w:r w:rsidRPr="00EA33CE">
        <w:rPr>
          <w:rFonts w:asciiTheme="minorHAnsi" w:hAnsiTheme="minorHAnsi"/>
          <w:sz w:val="24"/>
          <w:szCs w:val="24"/>
        </w:rPr>
        <w:t>xps</w:t>
      </w:r>
      <w:proofErr w:type="spellEnd"/>
      <w:r w:rsidRPr="00EA33CE">
        <w:rPr>
          <w:rFonts w:asciiTheme="minorHAnsi" w:hAnsiTheme="minorHAnsi"/>
          <w:sz w:val="24"/>
          <w:szCs w:val="24"/>
        </w:rPr>
        <w:t>, .</w:t>
      </w:r>
      <w:proofErr w:type="spellStart"/>
      <w:r w:rsidRPr="00EA33CE">
        <w:rPr>
          <w:rFonts w:asciiTheme="minorHAnsi" w:hAnsiTheme="minorHAnsi"/>
          <w:sz w:val="24"/>
          <w:szCs w:val="24"/>
        </w:rPr>
        <w:t>odt</w:t>
      </w:r>
      <w:proofErr w:type="spellEnd"/>
      <w:r w:rsidRPr="00EA33CE">
        <w:rPr>
          <w:rFonts w:asciiTheme="minorHAnsi" w:hAnsiTheme="minorHAnsi"/>
          <w:sz w:val="24"/>
          <w:szCs w:val="24"/>
        </w:rPr>
        <w:t>, (</w:t>
      </w:r>
      <w:r w:rsidRPr="00EA33CE">
        <w:rPr>
          <w:rFonts w:asciiTheme="minorHAnsi" w:hAnsiTheme="minorHAnsi"/>
          <w: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EA33CE">
        <w:rPr>
          <w:rFonts w:asciiTheme="minorHAnsi" w:hAnsiTheme="minorHAnsi"/>
          <w:sz w:val="24"/>
          <w:szCs w:val="24"/>
        </w:rPr>
        <w:t xml:space="preserve">) </w:t>
      </w:r>
      <w:r w:rsidRPr="00EA33CE">
        <w:rPr>
          <w:rFonts w:asciiTheme="minorHAnsi" w:hAnsiTheme="minorHAnsi"/>
          <w:sz w:val="24"/>
          <w:szCs w:val="24"/>
        </w:rPr>
        <w:br/>
        <w:t>i podpisana kwalifikowanym podpisem elektronicznym.</w:t>
      </w:r>
    </w:p>
    <w:p w14:paraId="5E493630"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9B0C75C"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Zamawiający może żądać przedstawienia oryginału lub notarialnie poświadczonej kopii dokumentu wyłącznie wtedy, gdy złożona przez Wykonawcę kopia jest nieczytelna lub budzi wątpliwości co do jej prawdziwości.</w:t>
      </w:r>
    </w:p>
    <w:p w14:paraId="4DDCF694"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30EC63A8"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 xml:space="preserve">Dokumenty sporządzone w języku obcym muszą być złożone wraz z tłumaczeniem na język polski. </w:t>
      </w:r>
    </w:p>
    <w:p w14:paraId="77B80057"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Treść oferty musi odpowiadać treści SIWZ.</w:t>
      </w:r>
    </w:p>
    <w:p w14:paraId="68F2016A"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272D2A6F"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Opis sposobu obliczenia ceny</w:t>
      </w:r>
    </w:p>
    <w:p w14:paraId="0AC19F85" w14:textId="77777777"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color w:val="000000"/>
          <w:sz w:val="24"/>
          <w:szCs w:val="24"/>
          <w:lang w:eastAsia="pl-PL"/>
        </w:rPr>
        <w:lastRenderedPageBreak/>
        <w:t>Wykonawca, określając cenę oferty, uwzględnia w niej wszystkie koszty wykonania Zamówienia.</w:t>
      </w:r>
    </w:p>
    <w:p w14:paraId="411177D3" w14:textId="77777777"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14:paraId="562EB091" w14:textId="77777777"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58389F7D" w14:textId="77777777"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sz w:val="24"/>
          <w:szCs w:val="24"/>
          <w:lang w:eastAsia="pl-PL"/>
        </w:rPr>
        <w:t xml:space="preserve">Cena oferty (i wszystkie jej składniki </w:t>
      </w:r>
      <w:r w:rsidRPr="00EA33CE">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0F4B5F12" w14:textId="77777777"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 xml:space="preserve">Cena powinna być podana cyfrowo i słownie. </w:t>
      </w:r>
    </w:p>
    <w:p w14:paraId="598AF527" w14:textId="77777777"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Cena oferty musi obejmować pełny zakres wykonania przedmiotu niniejszego zamówienia.</w:t>
      </w:r>
    </w:p>
    <w:p w14:paraId="42EBBB2D" w14:textId="77777777"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6878774D" w14:textId="77777777"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7085A986" w14:textId="77777777" w:rsidR="00EA33CE" w:rsidRPr="00ED4161" w:rsidRDefault="00EA33CE" w:rsidP="00EA33CE">
      <w:pPr>
        <w:numPr>
          <w:ilvl w:val="0"/>
          <w:numId w:val="2"/>
        </w:numPr>
        <w:spacing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w:t>
      </w:r>
      <w:bookmarkStart w:id="0" w:name="_GoBack"/>
      <w:bookmarkEnd w:id="0"/>
      <w:r w:rsidRPr="00ED4161">
        <w:rPr>
          <w:rFonts w:asciiTheme="minorHAnsi" w:eastAsia="Times New Roman" w:hAnsiTheme="minorHAnsi" w:cstheme="minorHAnsi"/>
          <w:color w:val="000000"/>
          <w:sz w:val="24"/>
          <w:szCs w:val="24"/>
          <w:lang w:eastAsia="pl-PL"/>
        </w:rPr>
        <w:t xml:space="preserve">najkorzystniejszej oferty (art. 93 ust. 1 pkt. 4 ustawy </w:t>
      </w:r>
      <w:proofErr w:type="spellStart"/>
      <w:r w:rsidRPr="00ED4161">
        <w:rPr>
          <w:rFonts w:asciiTheme="minorHAnsi" w:eastAsia="Times New Roman" w:hAnsiTheme="minorHAnsi" w:cstheme="minorHAnsi"/>
          <w:color w:val="000000"/>
          <w:sz w:val="24"/>
          <w:szCs w:val="24"/>
          <w:lang w:eastAsia="pl-PL"/>
        </w:rPr>
        <w:t>Pzp</w:t>
      </w:r>
      <w:proofErr w:type="spellEnd"/>
      <w:r w:rsidRPr="00ED4161">
        <w:rPr>
          <w:rFonts w:asciiTheme="minorHAnsi" w:eastAsia="Times New Roman" w:hAnsiTheme="minorHAnsi" w:cstheme="minorHAnsi"/>
          <w:color w:val="000000"/>
          <w:sz w:val="24"/>
          <w:szCs w:val="24"/>
          <w:lang w:eastAsia="pl-PL"/>
        </w:rPr>
        <w:t xml:space="preserve">). </w:t>
      </w:r>
    </w:p>
    <w:p w14:paraId="52C570BD" w14:textId="77777777" w:rsidR="00EA33CE" w:rsidRPr="00ED4161" w:rsidRDefault="00EA33CE" w:rsidP="00EA33CE">
      <w:pPr>
        <w:contextualSpacing/>
        <w:jc w:val="both"/>
        <w:rPr>
          <w:rFonts w:asciiTheme="minorHAnsi" w:eastAsia="Times New Roman" w:hAnsiTheme="minorHAnsi" w:cs="Times New Roman"/>
          <w:sz w:val="24"/>
          <w:szCs w:val="24"/>
          <w:lang w:eastAsia="pl-PL"/>
        </w:rPr>
      </w:pPr>
    </w:p>
    <w:p w14:paraId="7B82F49F" w14:textId="77777777" w:rsidR="00EA33CE" w:rsidRPr="00ED4161"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D4161">
        <w:rPr>
          <w:rFonts w:asciiTheme="minorHAnsi" w:eastAsia="Times New Roman" w:hAnsiTheme="minorHAnsi" w:cs="Times New Roman"/>
          <w:b/>
          <w:sz w:val="24"/>
          <w:szCs w:val="24"/>
          <w:lang w:eastAsia="pl-PL"/>
        </w:rPr>
        <w:t>Miejsce oraz termin składania i otwarcia ofert.</w:t>
      </w:r>
    </w:p>
    <w:p w14:paraId="69EF8287" w14:textId="77777777" w:rsidR="00EA33CE" w:rsidRPr="00ED4161"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ED4161">
        <w:rPr>
          <w:rFonts w:asciiTheme="minorHAnsi" w:eastAsia="Times New Roman" w:hAnsiTheme="minorHAnsi" w:cstheme="minorHAnsi"/>
          <w:sz w:val="24"/>
          <w:szCs w:val="24"/>
          <w:lang w:eastAsia="pl-PL"/>
        </w:rPr>
        <w:t xml:space="preserve">Ofertę należy złożyć w nieprzekraczalnym </w:t>
      </w:r>
      <w:r w:rsidRPr="00ED4161">
        <w:rPr>
          <w:rFonts w:asciiTheme="minorHAnsi" w:eastAsia="Times New Roman" w:hAnsiTheme="minorHAnsi" w:cstheme="minorHAnsi"/>
          <w:color w:val="000000" w:themeColor="text1"/>
          <w:sz w:val="24"/>
          <w:szCs w:val="24"/>
          <w:lang w:eastAsia="pl-PL"/>
        </w:rPr>
        <w:t>terminie do dnia:</w:t>
      </w:r>
    </w:p>
    <w:p w14:paraId="246F5E2B" w14:textId="196DE2F1" w:rsidR="00EA33CE" w:rsidRPr="00ED4161" w:rsidRDefault="00ED4161" w:rsidP="00EA33CE">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sidRPr="00ED4161">
        <w:rPr>
          <w:rFonts w:asciiTheme="minorHAnsi" w:eastAsia="Times New Roman" w:hAnsiTheme="minorHAnsi" w:cstheme="minorHAnsi"/>
          <w:b/>
          <w:color w:val="000000" w:themeColor="text1"/>
          <w:sz w:val="24"/>
          <w:szCs w:val="24"/>
          <w:u w:val="single"/>
          <w:lang w:eastAsia="pl-PL"/>
        </w:rPr>
        <w:t>10 marca</w:t>
      </w:r>
      <w:r w:rsidR="00EA33CE" w:rsidRPr="00ED4161">
        <w:rPr>
          <w:rFonts w:asciiTheme="minorHAnsi" w:eastAsia="Times New Roman" w:hAnsiTheme="minorHAnsi" w:cstheme="minorHAnsi"/>
          <w:b/>
          <w:color w:val="000000" w:themeColor="text1"/>
          <w:sz w:val="24"/>
          <w:szCs w:val="24"/>
          <w:u w:val="single"/>
          <w:lang w:eastAsia="pl-PL"/>
        </w:rPr>
        <w:t xml:space="preserve"> </w:t>
      </w:r>
      <w:r w:rsidR="0062234E" w:rsidRPr="00ED4161">
        <w:rPr>
          <w:rFonts w:asciiTheme="minorHAnsi" w:eastAsia="Times New Roman" w:hAnsiTheme="minorHAnsi" w:cstheme="minorHAnsi"/>
          <w:b/>
          <w:color w:val="000000" w:themeColor="text1"/>
          <w:sz w:val="24"/>
          <w:szCs w:val="24"/>
          <w:u w:val="single"/>
          <w:lang w:eastAsia="pl-PL"/>
        </w:rPr>
        <w:t>2020</w:t>
      </w:r>
      <w:r w:rsidR="00EA33CE" w:rsidRPr="00ED4161">
        <w:rPr>
          <w:rFonts w:asciiTheme="minorHAnsi" w:eastAsia="Times New Roman" w:hAnsiTheme="minorHAnsi" w:cstheme="minorHAnsi"/>
          <w:b/>
          <w:color w:val="000000" w:themeColor="text1"/>
          <w:sz w:val="24"/>
          <w:szCs w:val="24"/>
          <w:u w:val="single"/>
          <w:lang w:eastAsia="pl-PL"/>
        </w:rPr>
        <w:t xml:space="preserve"> r., do godz. 13:30.</w:t>
      </w:r>
      <w:r w:rsidR="00EA33CE" w:rsidRPr="00ED4161">
        <w:rPr>
          <w:rFonts w:asciiTheme="minorHAnsi" w:eastAsia="Times New Roman" w:hAnsiTheme="minorHAnsi" w:cstheme="minorHAnsi"/>
          <w:b/>
          <w:color w:val="000000" w:themeColor="text1"/>
          <w:sz w:val="24"/>
          <w:szCs w:val="24"/>
          <w:lang w:eastAsia="pl-PL"/>
        </w:rPr>
        <w:t xml:space="preserve"> </w:t>
      </w:r>
      <w:bookmarkStart w:id="1" w:name="_Toc56878493"/>
      <w:bookmarkStart w:id="2" w:name="_Toc136762103"/>
    </w:p>
    <w:p w14:paraId="5F7C6B64" w14:textId="77777777" w:rsidR="00EA33CE" w:rsidRPr="00ED4161" w:rsidRDefault="00EA33CE" w:rsidP="00EA33CE">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ED4161">
        <w:rPr>
          <w:rFonts w:cstheme="minorHAnsi"/>
          <w:color w:val="000000" w:themeColor="text1"/>
          <w:sz w:val="24"/>
          <w:szCs w:val="24"/>
        </w:rPr>
        <w:t xml:space="preserve">przy użyciu </w:t>
      </w:r>
      <w:proofErr w:type="spellStart"/>
      <w:r w:rsidRPr="00ED4161">
        <w:rPr>
          <w:rFonts w:cstheme="minorHAnsi"/>
          <w:color w:val="000000" w:themeColor="text1"/>
          <w:sz w:val="24"/>
          <w:szCs w:val="24"/>
        </w:rPr>
        <w:t>miniPortalu</w:t>
      </w:r>
      <w:proofErr w:type="spellEnd"/>
      <w:r w:rsidRPr="00ED4161">
        <w:rPr>
          <w:rFonts w:cstheme="minorHAnsi"/>
          <w:color w:val="000000" w:themeColor="text1"/>
          <w:sz w:val="24"/>
          <w:szCs w:val="24"/>
        </w:rPr>
        <w:t xml:space="preserve"> (</w:t>
      </w:r>
      <w:hyperlink r:id="rId11" w:history="1">
        <w:r w:rsidRPr="00ED4161">
          <w:rPr>
            <w:rStyle w:val="Hipercze"/>
            <w:rFonts w:cstheme="minorHAnsi"/>
            <w:color w:val="000000" w:themeColor="text1"/>
            <w:sz w:val="24"/>
            <w:szCs w:val="24"/>
          </w:rPr>
          <w:t>https://miniportal.uzp.gov.pl/</w:t>
        </w:r>
      </w:hyperlink>
      <w:r w:rsidRPr="00ED4161">
        <w:rPr>
          <w:rStyle w:val="Hipercze"/>
          <w:rFonts w:cstheme="minorHAnsi"/>
          <w:color w:val="000000" w:themeColor="text1"/>
          <w:sz w:val="24"/>
          <w:szCs w:val="24"/>
        </w:rPr>
        <w:t>)</w:t>
      </w:r>
    </w:p>
    <w:p w14:paraId="4330B804" w14:textId="4A045F09" w:rsidR="00EA33CE" w:rsidRPr="00ED4161"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D4161">
        <w:rPr>
          <w:rFonts w:asciiTheme="minorHAnsi" w:hAnsiTheme="minorHAnsi" w:cstheme="minorHAnsi"/>
          <w:sz w:val="24"/>
          <w:szCs w:val="24"/>
        </w:rPr>
        <w:t xml:space="preserve">Otwarcie ofert nastąpi w dniu </w:t>
      </w:r>
      <w:r w:rsidR="00ED4161" w:rsidRPr="00ED4161">
        <w:rPr>
          <w:rFonts w:asciiTheme="minorHAnsi" w:eastAsia="Times New Roman" w:hAnsiTheme="minorHAnsi" w:cstheme="minorHAnsi"/>
          <w:b/>
          <w:color w:val="000000" w:themeColor="text1"/>
          <w:sz w:val="24"/>
          <w:szCs w:val="24"/>
          <w:u w:val="single"/>
          <w:lang w:eastAsia="pl-PL"/>
        </w:rPr>
        <w:t>10 marca</w:t>
      </w:r>
      <w:r w:rsidRPr="00ED4161">
        <w:rPr>
          <w:rFonts w:asciiTheme="minorHAnsi" w:eastAsia="Times New Roman" w:hAnsiTheme="minorHAnsi" w:cstheme="minorHAnsi"/>
          <w:b/>
          <w:color w:val="000000" w:themeColor="text1"/>
          <w:sz w:val="24"/>
          <w:szCs w:val="24"/>
          <w:u w:val="single"/>
          <w:lang w:eastAsia="pl-PL"/>
        </w:rPr>
        <w:t xml:space="preserve"> 20</w:t>
      </w:r>
      <w:r w:rsidR="00511C7D" w:rsidRPr="00ED4161">
        <w:rPr>
          <w:rFonts w:asciiTheme="minorHAnsi" w:eastAsia="Times New Roman" w:hAnsiTheme="minorHAnsi" w:cstheme="minorHAnsi"/>
          <w:b/>
          <w:color w:val="000000" w:themeColor="text1"/>
          <w:sz w:val="24"/>
          <w:szCs w:val="24"/>
          <w:u w:val="single"/>
          <w:lang w:eastAsia="pl-PL"/>
        </w:rPr>
        <w:t>20</w:t>
      </w:r>
      <w:r w:rsidRPr="00ED4161">
        <w:rPr>
          <w:rFonts w:asciiTheme="minorHAnsi" w:eastAsia="Times New Roman" w:hAnsiTheme="minorHAnsi" w:cstheme="minorHAnsi"/>
          <w:b/>
          <w:color w:val="000000" w:themeColor="text1"/>
          <w:sz w:val="24"/>
          <w:szCs w:val="24"/>
          <w:u w:val="single"/>
          <w:lang w:eastAsia="pl-PL"/>
        </w:rPr>
        <w:t xml:space="preserve"> r. o godz. 14:30</w:t>
      </w:r>
    </w:p>
    <w:p w14:paraId="3F103F61" w14:textId="77777777" w:rsidR="00EA33CE" w:rsidRPr="00EA33CE"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D01E90">
        <w:rPr>
          <w:rFonts w:asciiTheme="minorHAnsi" w:hAnsiTheme="minorHAnsi" w:cstheme="minorHAnsi"/>
          <w:sz w:val="24"/>
          <w:szCs w:val="24"/>
        </w:rPr>
        <w:t>Otwarcie ofert następuje</w:t>
      </w:r>
      <w:r w:rsidRPr="00EA33CE">
        <w:rPr>
          <w:rFonts w:asciiTheme="minorHAnsi" w:hAnsiTheme="minorHAnsi" w:cstheme="minorHAnsi"/>
          <w:sz w:val="24"/>
          <w:szCs w:val="24"/>
        </w:rPr>
        <w:t xml:space="preserve"> poprzez użycie aplikacji do szyfrowania ofert dostępnej na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i dokonywane jest poprzez odszyfrowanie i otwarcie ofert za pomocą klucza prywatnego.</w:t>
      </w:r>
      <w:bookmarkEnd w:id="1"/>
      <w:bookmarkEnd w:id="2"/>
    </w:p>
    <w:p w14:paraId="6D5C427A" w14:textId="77777777" w:rsidR="00EA33CE" w:rsidRPr="00EA33CE"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A33CE">
        <w:rPr>
          <w:rFonts w:asciiTheme="minorHAnsi" w:hAnsiTheme="minorHAnsi" w:cstheme="minorHAnsi"/>
          <w:sz w:val="24"/>
          <w:szCs w:val="24"/>
        </w:rPr>
        <w:t>Otwarcie ofert jest jawne, Wykonawcy mogą uczestniczyć w sesji otwarcia ofert.</w:t>
      </w:r>
    </w:p>
    <w:p w14:paraId="076F4526" w14:textId="77777777" w:rsidR="00EA33CE" w:rsidRPr="00EA33CE" w:rsidRDefault="00EA33CE" w:rsidP="00EA33CE">
      <w:pPr>
        <w:pStyle w:val="Akapitzlist"/>
        <w:tabs>
          <w:tab w:val="left" w:pos="426"/>
        </w:tabs>
        <w:spacing w:before="120" w:after="120" w:line="240" w:lineRule="auto"/>
        <w:jc w:val="both"/>
        <w:rPr>
          <w:rFonts w:eastAsia="Times New Roman" w:cstheme="minorHAnsi"/>
          <w:b/>
          <w:sz w:val="24"/>
          <w:szCs w:val="24"/>
          <w:lang w:eastAsia="pl-PL"/>
        </w:rPr>
      </w:pPr>
      <w:r w:rsidRPr="00EA33CE">
        <w:rPr>
          <w:rFonts w:eastAsia="Times New Roman" w:cstheme="minorHAnsi"/>
          <w:b/>
          <w:sz w:val="24"/>
          <w:szCs w:val="24"/>
          <w:lang w:eastAsia="pl-PL"/>
        </w:rPr>
        <w:lastRenderedPageBreak/>
        <w:t xml:space="preserve">Sieć Badawcza </w:t>
      </w:r>
      <w:r w:rsidR="00CF2B17">
        <w:rPr>
          <w:rFonts w:eastAsia="Times New Roman" w:cstheme="minorHAnsi"/>
          <w:b/>
          <w:sz w:val="24"/>
          <w:szCs w:val="24"/>
          <w:lang w:eastAsia="pl-PL"/>
        </w:rPr>
        <w:t>ŁUKASIEWICZ</w:t>
      </w:r>
      <w:r w:rsidRPr="00EA33CE">
        <w:rPr>
          <w:rFonts w:eastAsia="Times New Roman" w:cstheme="minorHAnsi"/>
          <w:b/>
          <w:sz w:val="24"/>
          <w:szCs w:val="24"/>
          <w:lang w:eastAsia="pl-PL"/>
        </w:rPr>
        <w:t xml:space="preserve"> – Instytut Metali Nieżelaznych Oddział w Poznaniu</w:t>
      </w:r>
    </w:p>
    <w:p w14:paraId="52BC7BF9" w14:textId="77777777" w:rsidR="00EA33CE" w:rsidRPr="00EA33CE" w:rsidRDefault="00EA33CE" w:rsidP="00EA33CE">
      <w:pPr>
        <w:pStyle w:val="Akapitzlist"/>
        <w:tabs>
          <w:tab w:val="left" w:pos="426"/>
        </w:tabs>
        <w:spacing w:before="120" w:after="120" w:line="240" w:lineRule="auto"/>
        <w:jc w:val="both"/>
        <w:rPr>
          <w:rFonts w:eastAsia="Times New Roman" w:cstheme="minorHAnsi"/>
          <w:b/>
          <w:sz w:val="24"/>
          <w:szCs w:val="24"/>
          <w:lang w:eastAsia="pl-PL"/>
        </w:rPr>
      </w:pPr>
      <w:r w:rsidRPr="00EA33CE">
        <w:rPr>
          <w:rFonts w:eastAsia="Times New Roman" w:cstheme="minorHAnsi"/>
          <w:b/>
          <w:color w:val="000000" w:themeColor="text1"/>
          <w:sz w:val="24"/>
          <w:szCs w:val="24"/>
          <w:lang w:eastAsia="pl-PL"/>
        </w:rPr>
        <w:t>ul. Forteczna 12 - sala konferencyjna.</w:t>
      </w:r>
    </w:p>
    <w:p w14:paraId="23ECF000" w14:textId="77777777" w:rsidR="00EA33CE" w:rsidRPr="00EA33CE" w:rsidRDefault="00EA33CE" w:rsidP="00EA33CE">
      <w:pPr>
        <w:pStyle w:val="Akapitzlist"/>
        <w:tabs>
          <w:tab w:val="left" w:pos="426"/>
        </w:tabs>
        <w:spacing w:before="120" w:after="120" w:line="240" w:lineRule="auto"/>
        <w:jc w:val="both"/>
        <w:rPr>
          <w:rFonts w:eastAsia="Times New Roman" w:cstheme="minorHAnsi"/>
          <w:b/>
          <w:sz w:val="24"/>
          <w:szCs w:val="24"/>
          <w:lang w:eastAsia="pl-PL"/>
        </w:rPr>
      </w:pPr>
      <w:r w:rsidRPr="00EA33CE">
        <w:rPr>
          <w:rFonts w:eastAsia="Times New Roman" w:cstheme="minorHAnsi"/>
          <w:b/>
          <w:sz w:val="24"/>
          <w:szCs w:val="24"/>
          <w:lang w:eastAsia="pl-PL"/>
        </w:rPr>
        <w:t>61-362 Poznań</w:t>
      </w:r>
    </w:p>
    <w:p w14:paraId="53C00318" w14:textId="77777777" w:rsidR="00EA33CE" w:rsidRPr="00EA33CE"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A33CE">
        <w:rPr>
          <w:rFonts w:asciiTheme="minorHAnsi" w:hAnsiTheme="minorHAnsi" w:cstheme="minorHAnsi"/>
          <w:sz w:val="24"/>
          <w:szCs w:val="24"/>
        </w:rPr>
        <w:t>Niezwłocznie po otwarciu ofert Zamawiający zamieści na stronie internetowej informację z otwarcia ofert.</w:t>
      </w:r>
    </w:p>
    <w:p w14:paraId="08439A6C" w14:textId="77777777" w:rsidR="00EA33CE" w:rsidRPr="00EA33CE" w:rsidRDefault="00EA33CE" w:rsidP="00EA33CE">
      <w:pPr>
        <w:contextualSpacing/>
        <w:jc w:val="both"/>
        <w:rPr>
          <w:rFonts w:asciiTheme="minorHAnsi" w:eastAsia="Times New Roman" w:hAnsiTheme="minorHAnsi" w:cs="Times New Roman"/>
          <w:sz w:val="24"/>
          <w:szCs w:val="24"/>
          <w:lang w:eastAsia="pl-PL"/>
        </w:rPr>
      </w:pPr>
    </w:p>
    <w:p w14:paraId="2487C786"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Formalności po wyborze oferty, przed zawarciem umowy.</w:t>
      </w:r>
    </w:p>
    <w:p w14:paraId="07FE328E" w14:textId="77777777"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po wyborze oferty niezwłocznie zawiadomi wszystkich Wykonawców, którzy złożyli oferty o:</w:t>
      </w:r>
    </w:p>
    <w:p w14:paraId="3DE62104" w14:textId="77777777" w:rsidR="00EA33CE" w:rsidRPr="00EA33CE" w:rsidRDefault="00EA33CE" w:rsidP="00EA33CE">
      <w:pPr>
        <w:numPr>
          <w:ilvl w:val="0"/>
          <w:numId w:val="20"/>
        </w:numPr>
        <w:spacing w:before="107" w:line="240" w:lineRule="auto"/>
        <w:ind w:left="709" w:hanging="283"/>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08D6F78" w14:textId="77777777" w:rsidR="00EA33CE" w:rsidRPr="00EA33CE" w:rsidRDefault="00EA33CE" w:rsidP="00EA33CE">
      <w:pPr>
        <w:numPr>
          <w:ilvl w:val="0"/>
          <w:numId w:val="20"/>
        </w:numPr>
        <w:spacing w:before="107" w:line="240" w:lineRule="auto"/>
        <w:ind w:left="709" w:hanging="283"/>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Wykonawcach, którzy zostali wykluczeni,</w:t>
      </w:r>
    </w:p>
    <w:p w14:paraId="0CFA2058" w14:textId="77777777" w:rsidR="00EA33CE" w:rsidRPr="00EA33CE" w:rsidRDefault="00EA33CE" w:rsidP="00EA33CE">
      <w:pPr>
        <w:numPr>
          <w:ilvl w:val="0"/>
          <w:numId w:val="20"/>
        </w:numPr>
        <w:spacing w:before="107" w:line="240" w:lineRule="auto"/>
        <w:ind w:left="709" w:hanging="283"/>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Wykonawcach, których oferty zostały odrzucone, powodach odrzucenia oferty, a w przypadkach, o których mowa w art. 89 ust. 4 i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braku równoważności lub braku spełniania wymagań dotyczących wydajności lub funkcjonalności,</w:t>
      </w:r>
    </w:p>
    <w:p w14:paraId="72B789F6" w14:textId="77777777" w:rsidR="00EA33CE" w:rsidRPr="00EA33CE" w:rsidRDefault="00EA33CE" w:rsidP="00EA33CE">
      <w:pPr>
        <w:numPr>
          <w:ilvl w:val="0"/>
          <w:numId w:val="20"/>
        </w:numPr>
        <w:spacing w:before="107" w:line="240" w:lineRule="auto"/>
        <w:ind w:left="709" w:hanging="283"/>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unieważnieniu postępowania </w:t>
      </w:r>
      <w:r w:rsidRPr="00EA33CE">
        <w:rPr>
          <w:rFonts w:asciiTheme="minorHAnsi" w:eastAsia="Times New Roman" w:hAnsiTheme="minorHAnsi" w:cs="Times New Roman"/>
          <w:sz w:val="24"/>
          <w:szCs w:val="24"/>
          <w:lang w:eastAsia="pl-PL"/>
        </w:rPr>
        <w:br/>
        <w:t>- podając uzasadnienie faktyczne i prawne.</w:t>
      </w:r>
    </w:p>
    <w:p w14:paraId="063492D7" w14:textId="77777777"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Zamawiający zawrze umowę w sprawie zamówienia publicznego w terminach określonych w art. 94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14:paraId="29F1E7F2" w14:textId="77777777"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powiadomi Wykonawcę, którego oferta została wybrana, o terminie i miejscu zawarcia umowy.</w:t>
      </w:r>
    </w:p>
    <w:p w14:paraId="405BFE57" w14:textId="77777777"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43917C3" w14:textId="77777777"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3D516A9B" w14:textId="77777777"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7773A32F" w14:textId="77777777" w:rsidR="00EA33CE" w:rsidRPr="00EA33CE" w:rsidRDefault="00EA33CE" w:rsidP="00EA33CE">
      <w:pPr>
        <w:contextualSpacing/>
        <w:jc w:val="both"/>
        <w:rPr>
          <w:rFonts w:asciiTheme="minorHAnsi" w:eastAsia="Times New Roman" w:hAnsiTheme="minorHAnsi" w:cs="Times New Roman"/>
          <w:sz w:val="24"/>
          <w:szCs w:val="24"/>
          <w:lang w:eastAsia="pl-PL"/>
        </w:rPr>
      </w:pPr>
    </w:p>
    <w:p w14:paraId="2A482AFA"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Opis kryteriów, którymi Zamawiający będzie się kierował przy wyborze oferty wraz z podaniem znaczenia tych kryteriów</w:t>
      </w:r>
    </w:p>
    <w:p w14:paraId="2DA577B0"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3FED5DA0" w14:textId="77777777" w:rsidR="00EA33CE" w:rsidRPr="00EA33CE" w:rsidRDefault="00EA33CE" w:rsidP="00EA33CE">
      <w:pPr>
        <w:numPr>
          <w:ilvl w:val="0"/>
          <w:numId w:val="1"/>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color w:val="000000" w:themeColor="text1"/>
          <w:sz w:val="24"/>
          <w:szCs w:val="24"/>
          <w:lang w:eastAsia="pl-PL"/>
        </w:rPr>
        <w:t xml:space="preserve">Przy </w:t>
      </w:r>
      <w:r w:rsidRPr="00EA33CE">
        <w:rPr>
          <w:rFonts w:asciiTheme="minorHAnsi" w:eastAsia="Times New Roman" w:hAnsiTheme="minorHAnsi" w:cstheme="minorHAnsi"/>
          <w:sz w:val="24"/>
          <w:szCs w:val="24"/>
          <w:lang w:eastAsia="pl-PL"/>
        </w:rPr>
        <w:t>wyborze oferty najkorzystniejszej, Zamawiający będzie się kierował następującymi kryteriami:</w:t>
      </w:r>
    </w:p>
    <w:p w14:paraId="102D8FEE" w14:textId="77777777" w:rsidR="00EA33CE" w:rsidRPr="00EA33CE" w:rsidRDefault="00EA33CE" w:rsidP="00EA33CE">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EA33CE" w:rsidRPr="00EA33CE" w14:paraId="083C3008" w14:textId="77777777" w:rsidTr="00EA33CE">
        <w:trPr>
          <w:trHeight w:val="529"/>
        </w:trPr>
        <w:tc>
          <w:tcPr>
            <w:tcW w:w="426" w:type="dxa"/>
            <w:vAlign w:val="center"/>
          </w:tcPr>
          <w:p w14:paraId="3EF757E8" w14:textId="77777777"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l.p.</w:t>
            </w:r>
          </w:p>
        </w:tc>
        <w:tc>
          <w:tcPr>
            <w:tcW w:w="1769" w:type="dxa"/>
            <w:vAlign w:val="center"/>
          </w:tcPr>
          <w:p w14:paraId="31F42CD5" w14:textId="77777777"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Opis kryteriów oceny</w:t>
            </w:r>
          </w:p>
        </w:tc>
        <w:tc>
          <w:tcPr>
            <w:tcW w:w="1134" w:type="dxa"/>
            <w:vAlign w:val="center"/>
          </w:tcPr>
          <w:p w14:paraId="7F68C124" w14:textId="77777777"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Znaczenie (Waga)</w:t>
            </w:r>
          </w:p>
        </w:tc>
        <w:tc>
          <w:tcPr>
            <w:tcW w:w="6712" w:type="dxa"/>
            <w:vAlign w:val="center"/>
          </w:tcPr>
          <w:p w14:paraId="70C67324" w14:textId="77777777"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Opis metody przyznawania punktów</w:t>
            </w:r>
          </w:p>
        </w:tc>
      </w:tr>
      <w:tr w:rsidR="00EA33CE" w:rsidRPr="00EA33CE" w14:paraId="5B60DAA6" w14:textId="77777777" w:rsidTr="00EA33CE">
        <w:trPr>
          <w:trHeight w:val="465"/>
        </w:trPr>
        <w:tc>
          <w:tcPr>
            <w:tcW w:w="426" w:type="dxa"/>
            <w:vAlign w:val="center"/>
          </w:tcPr>
          <w:p w14:paraId="080B5171" w14:textId="77777777" w:rsidR="00EA33CE" w:rsidRPr="00EA33CE" w:rsidRDefault="00EA33CE" w:rsidP="000C2112">
            <w:pPr>
              <w:contextualSpacing/>
              <w:jc w:val="center"/>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1</w:t>
            </w:r>
          </w:p>
        </w:tc>
        <w:tc>
          <w:tcPr>
            <w:tcW w:w="1769" w:type="dxa"/>
            <w:vAlign w:val="center"/>
          </w:tcPr>
          <w:p w14:paraId="354007CF" w14:textId="77777777" w:rsidR="00EA33CE" w:rsidRPr="00EA33CE" w:rsidRDefault="00EA33CE" w:rsidP="000C2112">
            <w:pPr>
              <w:widowControl w:val="0"/>
              <w:adjustRightInd w:val="0"/>
              <w:contextualSpacing/>
              <w:jc w:val="both"/>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 xml:space="preserve">Cena  </w:t>
            </w:r>
          </w:p>
        </w:tc>
        <w:tc>
          <w:tcPr>
            <w:tcW w:w="1134" w:type="dxa"/>
            <w:vAlign w:val="center"/>
          </w:tcPr>
          <w:p w14:paraId="74786D08" w14:textId="77777777" w:rsidR="00EA33CE" w:rsidRPr="00EA33CE" w:rsidRDefault="00EA33CE" w:rsidP="000C2112">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60%</w:t>
            </w:r>
          </w:p>
        </w:tc>
        <w:tc>
          <w:tcPr>
            <w:tcW w:w="6712" w:type="dxa"/>
          </w:tcPr>
          <w:p w14:paraId="4AFBCE22" w14:textId="77777777" w:rsidR="00EA33CE" w:rsidRPr="00EA33CE" w:rsidRDefault="00EA33CE" w:rsidP="000C2112">
            <w:pPr>
              <w:widowControl w:val="0"/>
              <w:adjustRightInd w:val="0"/>
              <w:contextualSpacing/>
              <w:textAlignment w:val="baseline"/>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Proporcje matematyczne wg wzoru:</w:t>
            </w:r>
          </w:p>
          <w:p w14:paraId="391FBC81" w14:textId="77777777" w:rsidR="00EA33CE" w:rsidRPr="00EA33CE" w:rsidRDefault="00EA33CE" w:rsidP="000C2112">
            <w:pPr>
              <w:widowControl w:val="0"/>
              <w:adjustRightInd w:val="0"/>
              <w:contextualSpacing/>
              <w:textAlignment w:val="baseline"/>
              <w:rPr>
                <w:rFonts w:asciiTheme="minorHAnsi" w:eastAsia="Times New Roman" w:hAnsiTheme="minorHAnsi" w:cstheme="minorHAnsi"/>
                <w:sz w:val="24"/>
                <w:szCs w:val="24"/>
                <w:lang w:eastAsia="pl-PL"/>
              </w:rPr>
            </w:pPr>
          </w:p>
          <w:p w14:paraId="118F65A7" w14:textId="77777777" w:rsidR="00EA33CE" w:rsidRPr="00EA33CE" w:rsidRDefault="00EA33CE" w:rsidP="000C2112">
            <w:pPr>
              <w:tabs>
                <w:tab w:val="left" w:pos="990"/>
              </w:tabs>
              <w:contextualSpacing/>
              <w:rPr>
                <w:rFonts w:asciiTheme="minorHAnsi" w:eastAsia="Times New Roman" w:hAnsiTheme="minorHAnsi" w:cstheme="minorHAnsi"/>
                <w:sz w:val="24"/>
                <w:szCs w:val="24"/>
                <w:lang w:eastAsia="pl-PL"/>
              </w:rPr>
            </w:pPr>
            <w:r w:rsidRPr="00EA33CE">
              <w:rPr>
                <w:rFonts w:asciiTheme="minorHAnsi" w:eastAsia="Times New Roman" w:hAnsiTheme="minorHAnsi" w:cstheme="minorHAnsi"/>
                <w:b/>
                <w:sz w:val="24"/>
                <w:szCs w:val="24"/>
                <w:lang w:eastAsia="pl-PL"/>
              </w:rPr>
              <w:t>C = cena najniższa</w:t>
            </w:r>
            <w:r w:rsidRPr="00EA33CE">
              <w:rPr>
                <w:rFonts w:asciiTheme="minorHAnsi" w:eastAsia="Times New Roman" w:hAnsiTheme="minorHAnsi" w:cstheme="minorHAnsi"/>
                <w:sz w:val="24"/>
                <w:szCs w:val="24"/>
                <w:lang w:eastAsia="pl-PL"/>
              </w:rPr>
              <w:t xml:space="preserve">/cena badanej oferty x 100 </w:t>
            </w:r>
            <w:r w:rsidRPr="00EA33CE">
              <w:rPr>
                <w:rFonts w:asciiTheme="minorHAnsi" w:eastAsia="Times New Roman" w:hAnsiTheme="minorHAnsi" w:cstheme="minorHAnsi"/>
                <w:sz w:val="24"/>
                <w:szCs w:val="24"/>
                <w:lang w:eastAsia="pl-PL"/>
              </w:rPr>
              <w:sym w:font="Symbol" w:char="F0B4"/>
            </w:r>
            <w:r w:rsidRPr="00EA33CE">
              <w:rPr>
                <w:rFonts w:asciiTheme="minorHAnsi" w:eastAsia="Times New Roman" w:hAnsiTheme="minorHAnsi" w:cstheme="minorHAnsi"/>
                <w:sz w:val="24"/>
                <w:szCs w:val="24"/>
                <w:lang w:eastAsia="pl-PL"/>
              </w:rPr>
              <w:t>60%</w:t>
            </w:r>
          </w:p>
          <w:p w14:paraId="453B6167" w14:textId="77777777" w:rsidR="00EA33CE" w:rsidRPr="00EA33CE" w:rsidRDefault="00EA33CE" w:rsidP="000C2112">
            <w:pPr>
              <w:tabs>
                <w:tab w:val="left" w:pos="990"/>
              </w:tabs>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gdzie:</w:t>
            </w:r>
          </w:p>
          <w:p w14:paraId="12148CEE" w14:textId="77777777" w:rsidR="00EA33CE" w:rsidRPr="00EA33CE" w:rsidRDefault="00EA33CE" w:rsidP="000C2112">
            <w:pPr>
              <w:tabs>
                <w:tab w:val="left" w:pos="990"/>
              </w:tabs>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C - ilość punktów przyznana danemu kryterium</w:t>
            </w:r>
          </w:p>
          <w:p w14:paraId="396F3824" w14:textId="77777777" w:rsidR="00EA33CE" w:rsidRPr="00EA33CE" w:rsidRDefault="00EA33CE" w:rsidP="000C2112">
            <w:pPr>
              <w:tabs>
                <w:tab w:val="left" w:pos="990"/>
              </w:tabs>
              <w:contextualSpacing/>
              <w:jc w:val="both"/>
              <w:rPr>
                <w:rFonts w:asciiTheme="minorHAnsi" w:eastAsia="Times New Roman" w:hAnsiTheme="minorHAnsi" w:cstheme="minorHAnsi"/>
                <w:sz w:val="24"/>
                <w:szCs w:val="24"/>
                <w:lang w:eastAsia="pl-PL"/>
              </w:rPr>
            </w:pPr>
          </w:p>
          <w:p w14:paraId="7AC980F6" w14:textId="77777777" w:rsidR="00EA33CE" w:rsidRPr="00EA33CE" w:rsidRDefault="00EA33CE" w:rsidP="000C2112">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1F654CF0" w14:textId="77777777" w:rsidR="00EA33CE" w:rsidRPr="00EA33CE" w:rsidRDefault="00EA33CE" w:rsidP="000C2112">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Oferta o najniższej cenie - </w:t>
            </w:r>
            <w:r w:rsidRPr="00EA33CE">
              <w:rPr>
                <w:rFonts w:asciiTheme="minorHAnsi" w:eastAsia="Times New Roman" w:hAnsiTheme="minorHAnsi" w:cstheme="minorHAnsi"/>
                <w:b/>
                <w:sz w:val="24"/>
                <w:szCs w:val="24"/>
                <w:lang w:eastAsia="pl-PL"/>
              </w:rPr>
              <w:t>60 pkt</w:t>
            </w:r>
            <w:r w:rsidRPr="00EA33CE">
              <w:rPr>
                <w:rFonts w:asciiTheme="minorHAnsi" w:eastAsia="Times New Roman" w:hAnsiTheme="minorHAnsi" w:cstheme="minorHAnsi"/>
                <w:sz w:val="24"/>
                <w:szCs w:val="24"/>
                <w:lang w:eastAsia="pl-PL"/>
              </w:rPr>
              <w:t>, pozostałe oferty – ilość punktów wyliczona według wzoru gdzie 1 pkt = 1%.</w:t>
            </w:r>
          </w:p>
          <w:p w14:paraId="0C455880" w14:textId="77777777" w:rsidR="00EA33CE" w:rsidRPr="00EA33CE" w:rsidRDefault="00EA33CE" w:rsidP="000C2112">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b/>
                <w:sz w:val="24"/>
                <w:szCs w:val="24"/>
                <w:lang w:eastAsia="pl-PL"/>
              </w:rPr>
              <w:t>Maksymalnie w tym kryterium wykonawca może otrzymać 60 pkt.</w:t>
            </w:r>
          </w:p>
        </w:tc>
      </w:tr>
      <w:tr w:rsidR="00EA33CE" w:rsidRPr="00EA33CE" w14:paraId="480A59E2" w14:textId="77777777" w:rsidTr="00EA33CE">
        <w:trPr>
          <w:trHeight w:val="595"/>
        </w:trPr>
        <w:tc>
          <w:tcPr>
            <w:tcW w:w="426" w:type="dxa"/>
            <w:vAlign w:val="center"/>
          </w:tcPr>
          <w:p w14:paraId="2DB0FC54" w14:textId="77777777" w:rsidR="00EA33CE" w:rsidRPr="00EA33CE" w:rsidRDefault="00EA33CE" w:rsidP="000C2112">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2</w:t>
            </w:r>
          </w:p>
        </w:tc>
        <w:tc>
          <w:tcPr>
            <w:tcW w:w="1769" w:type="dxa"/>
            <w:vAlign w:val="center"/>
          </w:tcPr>
          <w:p w14:paraId="79CCFD2D" w14:textId="77777777" w:rsidR="00EA33CE" w:rsidRPr="00EA33CE" w:rsidRDefault="00EA33CE" w:rsidP="000C2112">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Wydłużenie Okresu Rękojmi i Gwarancji</w:t>
            </w:r>
          </w:p>
        </w:tc>
        <w:tc>
          <w:tcPr>
            <w:tcW w:w="1134" w:type="dxa"/>
            <w:vAlign w:val="center"/>
          </w:tcPr>
          <w:p w14:paraId="48199F4F" w14:textId="77777777" w:rsidR="00EA33CE" w:rsidRPr="00EA33CE" w:rsidRDefault="00EA33CE" w:rsidP="000C2112">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18%</w:t>
            </w:r>
          </w:p>
        </w:tc>
        <w:tc>
          <w:tcPr>
            <w:tcW w:w="6712" w:type="dxa"/>
          </w:tcPr>
          <w:p w14:paraId="1A016C33" w14:textId="77777777" w:rsidR="00EA33CE" w:rsidRPr="00D3551C" w:rsidRDefault="00EA33CE" w:rsidP="000C2112">
            <w:pPr>
              <w:widowControl w:val="0"/>
              <w:adjustRightInd w:val="0"/>
              <w:snapToGrid w:val="0"/>
              <w:spacing w:before="60"/>
              <w:textAlignment w:val="baseline"/>
              <w:rPr>
                <w:rFonts w:asciiTheme="minorHAnsi" w:eastAsia="Times New Roman" w:hAnsiTheme="minorHAnsi" w:cstheme="minorHAnsi"/>
                <w:b/>
                <w:sz w:val="24"/>
                <w:szCs w:val="24"/>
              </w:rPr>
            </w:pPr>
            <w:r w:rsidRPr="00EA33CE">
              <w:rPr>
                <w:rFonts w:asciiTheme="minorHAnsi" w:eastAsia="Times New Roman" w:hAnsiTheme="minorHAnsi" w:cstheme="minorHAnsi"/>
                <w:b/>
                <w:sz w:val="24"/>
                <w:szCs w:val="24"/>
              </w:rPr>
              <w:t xml:space="preserve">G – </w:t>
            </w:r>
            <w:r w:rsidRPr="00EA33CE">
              <w:rPr>
                <w:rFonts w:asciiTheme="minorHAnsi" w:eastAsia="Times New Roman" w:hAnsiTheme="minorHAnsi" w:cstheme="minorHAnsi"/>
                <w:b/>
                <w:sz w:val="24"/>
                <w:szCs w:val="24"/>
                <w:lang w:eastAsia="pl-PL"/>
              </w:rPr>
              <w:t xml:space="preserve">Wydłużenie Okresu </w:t>
            </w:r>
            <w:r w:rsidRPr="00D3551C">
              <w:rPr>
                <w:rFonts w:asciiTheme="minorHAnsi" w:eastAsia="Times New Roman" w:hAnsiTheme="minorHAnsi" w:cstheme="minorHAnsi"/>
                <w:b/>
                <w:sz w:val="24"/>
                <w:szCs w:val="24"/>
                <w:lang w:eastAsia="pl-PL"/>
              </w:rPr>
              <w:t>Rękojmi i Gwarancji</w:t>
            </w:r>
          </w:p>
          <w:p w14:paraId="43A0937B" w14:textId="77777777" w:rsidR="00EA33CE" w:rsidRPr="00D3551C" w:rsidRDefault="00EA33CE" w:rsidP="000C2112">
            <w:pPr>
              <w:spacing w:before="60" w:after="120"/>
              <w:jc w:val="both"/>
              <w:rPr>
                <w:rFonts w:asciiTheme="minorHAnsi" w:eastAsia="Times New Roman" w:hAnsiTheme="minorHAnsi" w:cstheme="minorHAnsi"/>
                <w:color w:val="000000" w:themeColor="text1"/>
                <w:sz w:val="24"/>
                <w:szCs w:val="24"/>
              </w:rPr>
            </w:pPr>
            <w:r w:rsidRPr="00D3551C">
              <w:rPr>
                <w:rFonts w:asciiTheme="minorHAnsi" w:eastAsia="Times New Roman" w:hAnsiTheme="minorHAnsi" w:cstheme="minorHAnsi"/>
                <w:color w:val="000000" w:themeColor="text1"/>
                <w:sz w:val="24"/>
                <w:szCs w:val="24"/>
              </w:rPr>
              <w:t>gdzie:</w:t>
            </w:r>
          </w:p>
          <w:p w14:paraId="02469CF2" w14:textId="77777777" w:rsidR="00EA33CE" w:rsidRPr="00D3551C" w:rsidRDefault="00EA33CE" w:rsidP="000C2112">
            <w:pPr>
              <w:spacing w:before="60" w:after="120"/>
              <w:jc w:val="both"/>
              <w:rPr>
                <w:rFonts w:asciiTheme="minorHAnsi" w:eastAsia="Times New Roman" w:hAnsiTheme="minorHAnsi" w:cstheme="minorHAnsi"/>
                <w:b/>
                <w:color w:val="000000" w:themeColor="text1"/>
                <w:sz w:val="24"/>
                <w:szCs w:val="24"/>
              </w:rPr>
            </w:pPr>
            <w:r w:rsidRPr="00D3551C">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D3551C">
              <w:rPr>
                <w:rFonts w:asciiTheme="minorHAnsi" w:eastAsia="Times New Roman" w:hAnsiTheme="minorHAnsi" w:cstheme="minorHAnsi"/>
                <w:b/>
                <w:color w:val="000000" w:themeColor="text1"/>
                <w:sz w:val="24"/>
                <w:szCs w:val="24"/>
              </w:rPr>
              <w:t xml:space="preserve"> 6 pkt.</w:t>
            </w:r>
          </w:p>
          <w:p w14:paraId="69FF996C" w14:textId="77777777" w:rsidR="00EA33CE" w:rsidRPr="00D3551C" w:rsidRDefault="00EA33CE" w:rsidP="000C2112">
            <w:pPr>
              <w:spacing w:before="60" w:after="120"/>
              <w:jc w:val="both"/>
              <w:rPr>
                <w:rFonts w:asciiTheme="minorHAnsi" w:eastAsia="Times New Roman" w:hAnsiTheme="minorHAnsi" w:cstheme="minorHAnsi"/>
                <w:b/>
                <w:color w:val="000000" w:themeColor="text1"/>
                <w:sz w:val="24"/>
                <w:szCs w:val="24"/>
              </w:rPr>
            </w:pPr>
            <w:r w:rsidRPr="00D3551C">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D3551C">
              <w:rPr>
                <w:rFonts w:asciiTheme="minorHAnsi" w:eastAsia="Times New Roman" w:hAnsiTheme="minorHAnsi" w:cstheme="minorHAnsi"/>
                <w:b/>
                <w:color w:val="000000" w:themeColor="text1"/>
                <w:sz w:val="24"/>
                <w:szCs w:val="24"/>
              </w:rPr>
              <w:t xml:space="preserve"> 12 pkt.</w:t>
            </w:r>
          </w:p>
          <w:p w14:paraId="0DADB635" w14:textId="77777777" w:rsidR="00EA33CE" w:rsidRPr="00D3551C" w:rsidRDefault="00EA33CE" w:rsidP="000C2112">
            <w:pPr>
              <w:spacing w:before="60" w:after="120"/>
              <w:jc w:val="both"/>
              <w:rPr>
                <w:rFonts w:asciiTheme="minorHAnsi" w:eastAsia="Times New Roman" w:hAnsiTheme="minorHAnsi" w:cstheme="minorHAnsi"/>
                <w:b/>
                <w:color w:val="000000" w:themeColor="text1"/>
                <w:sz w:val="24"/>
                <w:szCs w:val="24"/>
              </w:rPr>
            </w:pPr>
            <w:r w:rsidRPr="00D3551C">
              <w:rPr>
                <w:rFonts w:asciiTheme="minorHAnsi" w:eastAsia="Times New Roman" w:hAnsiTheme="minorHAnsi" w:cstheme="minorHAnsi"/>
                <w:color w:val="000000" w:themeColor="text1"/>
                <w:sz w:val="24"/>
                <w:szCs w:val="24"/>
              </w:rPr>
              <w:t>-</w:t>
            </w:r>
            <w:r w:rsidRPr="00D3551C">
              <w:rPr>
                <w:rFonts w:asciiTheme="minorHAnsi" w:eastAsia="Times New Roman" w:hAnsiTheme="minorHAnsi" w:cstheme="minorHAnsi"/>
                <w:b/>
                <w:color w:val="000000" w:themeColor="text1"/>
                <w:sz w:val="24"/>
                <w:szCs w:val="24"/>
              </w:rPr>
              <w:t xml:space="preserve"> </w:t>
            </w:r>
            <w:r w:rsidRPr="00D3551C">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D3551C">
              <w:rPr>
                <w:rFonts w:asciiTheme="minorHAnsi" w:eastAsia="Times New Roman" w:hAnsiTheme="minorHAnsi" w:cstheme="minorHAnsi"/>
                <w:b/>
                <w:color w:val="000000" w:themeColor="text1"/>
                <w:sz w:val="24"/>
                <w:szCs w:val="24"/>
              </w:rPr>
              <w:t xml:space="preserve"> 18 pkt.</w:t>
            </w:r>
          </w:p>
          <w:p w14:paraId="5C33BDEF" w14:textId="77777777" w:rsidR="00EA33CE" w:rsidRPr="00EA33CE" w:rsidRDefault="00EA33CE" w:rsidP="000C2112">
            <w:pPr>
              <w:spacing w:before="60"/>
              <w:jc w:val="both"/>
              <w:rPr>
                <w:rFonts w:asciiTheme="minorHAnsi" w:eastAsia="Times New Roman" w:hAnsiTheme="minorHAnsi" w:cstheme="minorHAnsi"/>
                <w:b/>
                <w:color w:val="000000" w:themeColor="text1"/>
                <w:sz w:val="24"/>
                <w:szCs w:val="24"/>
              </w:rPr>
            </w:pPr>
            <w:r w:rsidRPr="00D3551C">
              <w:rPr>
                <w:rFonts w:asciiTheme="minorHAnsi" w:eastAsia="Times New Roman" w:hAnsiTheme="minorHAnsi" w:cstheme="minorHAnsi"/>
                <w:b/>
                <w:color w:val="000000" w:themeColor="text1"/>
                <w:sz w:val="24"/>
                <w:szCs w:val="24"/>
              </w:rPr>
              <w:t>Maksymalnie w tym kryterium</w:t>
            </w:r>
            <w:r w:rsidRPr="00EA33CE">
              <w:rPr>
                <w:rFonts w:asciiTheme="minorHAnsi" w:eastAsia="Times New Roman" w:hAnsiTheme="minorHAnsi" w:cstheme="minorHAnsi"/>
                <w:b/>
                <w:color w:val="000000" w:themeColor="text1"/>
                <w:sz w:val="24"/>
                <w:szCs w:val="24"/>
              </w:rPr>
              <w:t xml:space="preserve"> wykonawca może otrzymać 18 pkt.</w:t>
            </w:r>
          </w:p>
        </w:tc>
      </w:tr>
      <w:tr w:rsidR="00EA33CE" w:rsidRPr="00EA33CE" w14:paraId="02E45CEA" w14:textId="77777777" w:rsidTr="00EA33CE">
        <w:trPr>
          <w:trHeight w:val="595"/>
        </w:trPr>
        <w:tc>
          <w:tcPr>
            <w:tcW w:w="426" w:type="dxa"/>
            <w:vAlign w:val="center"/>
          </w:tcPr>
          <w:p w14:paraId="502707B2" w14:textId="77777777" w:rsidR="00EA33CE" w:rsidRPr="00EA33CE" w:rsidRDefault="00EA33CE" w:rsidP="00EA33CE">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3</w:t>
            </w:r>
          </w:p>
        </w:tc>
        <w:tc>
          <w:tcPr>
            <w:tcW w:w="1769" w:type="dxa"/>
            <w:vAlign w:val="center"/>
          </w:tcPr>
          <w:p w14:paraId="045F1448" w14:textId="77777777" w:rsidR="00EA33CE" w:rsidRPr="00EA33CE" w:rsidRDefault="00EA33CE" w:rsidP="00EA33CE">
            <w:pPr>
              <w:widowControl w:val="0"/>
              <w:adjustRightInd w:val="0"/>
              <w:spacing w:before="60"/>
              <w:contextualSpacing/>
              <w:jc w:val="both"/>
              <w:textAlignment w:val="baseline"/>
              <w:rPr>
                <w:rFonts w:asciiTheme="minorHAnsi" w:eastAsia="Times New Roman" w:hAnsiTheme="minorHAnsi" w:cs="Calibri"/>
                <w:b/>
                <w:sz w:val="24"/>
                <w:szCs w:val="24"/>
                <w:lang w:eastAsia="pl-PL"/>
              </w:rPr>
            </w:pPr>
            <w:r w:rsidRPr="00EA33CE">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14:paraId="4E99AEC0" w14:textId="77777777" w:rsidR="00EA33CE" w:rsidRPr="00EA33CE" w:rsidRDefault="00EA33CE" w:rsidP="00EA33CE">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22%</w:t>
            </w:r>
          </w:p>
        </w:tc>
        <w:tc>
          <w:tcPr>
            <w:tcW w:w="6712" w:type="dxa"/>
          </w:tcPr>
          <w:p w14:paraId="78D1D61C" w14:textId="77777777" w:rsidR="00EA33CE" w:rsidRPr="00EA33CE" w:rsidRDefault="00EA33CE" w:rsidP="00EA33CE">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b/>
                <w:color w:val="000000" w:themeColor="text1"/>
                <w:sz w:val="24"/>
                <w:szCs w:val="24"/>
              </w:rPr>
              <w:t>PT – Parametry techniczne</w:t>
            </w:r>
          </w:p>
          <w:p w14:paraId="250FF2A0" w14:textId="77777777" w:rsidR="00EA33CE" w:rsidRPr="00511C7D" w:rsidRDefault="00EA33CE" w:rsidP="00EA33CE">
            <w:pPr>
              <w:spacing w:before="60" w:after="120"/>
              <w:jc w:val="both"/>
              <w:rPr>
                <w:rFonts w:asciiTheme="minorHAnsi" w:eastAsia="Times New Roman" w:hAnsiTheme="minorHAnsi" w:cstheme="minorHAnsi"/>
                <w:b/>
                <w:color w:val="000000" w:themeColor="text1"/>
                <w:sz w:val="24"/>
                <w:szCs w:val="24"/>
              </w:rPr>
            </w:pPr>
            <w:r w:rsidRPr="00511C7D">
              <w:rPr>
                <w:rFonts w:asciiTheme="minorHAnsi" w:eastAsia="Times New Roman" w:hAnsiTheme="minorHAnsi" w:cstheme="minorHAnsi"/>
                <w:b/>
                <w:color w:val="000000" w:themeColor="text1"/>
                <w:sz w:val="24"/>
                <w:szCs w:val="24"/>
              </w:rPr>
              <w:t>gdzie:</w:t>
            </w:r>
          </w:p>
          <w:p w14:paraId="3FB06BAA" w14:textId="77777777" w:rsidR="00511C7D" w:rsidRPr="00511C7D" w:rsidRDefault="00EA33CE" w:rsidP="00EA33CE">
            <w:pPr>
              <w:spacing w:before="60" w:after="120"/>
              <w:jc w:val="both"/>
              <w:rPr>
                <w:rFonts w:asciiTheme="minorHAnsi" w:eastAsia="Times New Roman" w:hAnsiTheme="minorHAnsi" w:cstheme="minorHAnsi"/>
                <w:color w:val="000000" w:themeColor="text1"/>
                <w:sz w:val="24"/>
                <w:szCs w:val="24"/>
              </w:rPr>
            </w:pPr>
            <w:r w:rsidRPr="00511C7D">
              <w:rPr>
                <w:rFonts w:asciiTheme="minorHAnsi" w:eastAsia="Times New Roman" w:hAnsiTheme="minorHAnsi" w:cstheme="minorHAnsi"/>
                <w:b/>
                <w:color w:val="000000" w:themeColor="text1"/>
                <w:sz w:val="24"/>
                <w:szCs w:val="24"/>
              </w:rPr>
              <w:t xml:space="preserve">- </w:t>
            </w:r>
            <w:r w:rsidR="00CF2B17" w:rsidRPr="00511C7D">
              <w:rPr>
                <w:rFonts w:asciiTheme="minorHAnsi" w:eastAsia="Times New Roman" w:hAnsiTheme="minorHAnsi" w:cstheme="minorHAnsi"/>
                <w:color w:val="000000" w:themeColor="text1"/>
                <w:sz w:val="24"/>
                <w:szCs w:val="24"/>
              </w:rPr>
              <w:t>za możliwość testowania próbek o masie w zakresie</w:t>
            </w:r>
            <w:r w:rsidR="00511C7D" w:rsidRPr="00511C7D">
              <w:rPr>
                <w:rFonts w:asciiTheme="minorHAnsi" w:eastAsia="Times New Roman" w:hAnsiTheme="minorHAnsi" w:cstheme="minorHAnsi"/>
                <w:color w:val="000000" w:themeColor="text1"/>
                <w:sz w:val="24"/>
                <w:szCs w:val="24"/>
              </w:rPr>
              <w:t>:</w:t>
            </w:r>
          </w:p>
          <w:p w14:paraId="6FDBA0BD" w14:textId="79E2BAD4" w:rsidR="00EA33CE" w:rsidRPr="00511C7D" w:rsidRDefault="00CF2B17" w:rsidP="00511C7D">
            <w:pPr>
              <w:pStyle w:val="Akapitzlist"/>
              <w:numPr>
                <w:ilvl w:val="0"/>
                <w:numId w:val="31"/>
              </w:numPr>
              <w:spacing w:before="60" w:after="120"/>
              <w:jc w:val="both"/>
              <w:rPr>
                <w:rFonts w:eastAsia="Times New Roman" w:cstheme="minorHAnsi"/>
                <w:color w:val="000000" w:themeColor="text1"/>
                <w:sz w:val="24"/>
                <w:szCs w:val="24"/>
              </w:rPr>
            </w:pPr>
            <w:r w:rsidRPr="00511C7D">
              <w:rPr>
                <w:rFonts w:eastAsia="Times New Roman" w:cstheme="minorHAnsi"/>
                <w:color w:val="000000" w:themeColor="text1"/>
                <w:sz w:val="24"/>
                <w:szCs w:val="24"/>
              </w:rPr>
              <w:lastRenderedPageBreak/>
              <w:t>powyżej 150 kg do 300 kg</w:t>
            </w:r>
            <w:r w:rsidR="00EA33CE" w:rsidRPr="00511C7D">
              <w:rPr>
                <w:rFonts w:eastAsia="Times New Roman" w:cstheme="minorHAnsi"/>
                <w:color w:val="000000" w:themeColor="text1"/>
                <w:sz w:val="24"/>
                <w:szCs w:val="24"/>
              </w:rPr>
              <w:t xml:space="preserve"> –   zamawiający przydzieli</w:t>
            </w:r>
            <w:r w:rsidRPr="00511C7D">
              <w:rPr>
                <w:rFonts w:eastAsia="Times New Roman" w:cstheme="minorHAnsi"/>
                <w:b/>
                <w:color w:val="000000" w:themeColor="text1"/>
                <w:sz w:val="24"/>
                <w:szCs w:val="24"/>
              </w:rPr>
              <w:t xml:space="preserve"> </w:t>
            </w:r>
            <w:r w:rsidR="00511C7D" w:rsidRPr="00511C7D">
              <w:rPr>
                <w:rFonts w:eastAsia="Times New Roman" w:cstheme="minorHAnsi"/>
                <w:b/>
                <w:color w:val="000000" w:themeColor="text1"/>
                <w:sz w:val="24"/>
                <w:szCs w:val="24"/>
              </w:rPr>
              <w:t>4</w:t>
            </w:r>
            <w:r w:rsidR="00EA33CE" w:rsidRPr="00511C7D">
              <w:rPr>
                <w:rFonts w:eastAsia="Times New Roman" w:cstheme="minorHAnsi"/>
                <w:b/>
                <w:color w:val="000000" w:themeColor="text1"/>
                <w:sz w:val="24"/>
                <w:szCs w:val="24"/>
              </w:rPr>
              <w:t xml:space="preserve"> pkt.</w:t>
            </w:r>
          </w:p>
          <w:p w14:paraId="7C82954F" w14:textId="77777777" w:rsidR="00511C7D" w:rsidRPr="00511C7D" w:rsidRDefault="00CF2B17" w:rsidP="00EA33CE">
            <w:pPr>
              <w:pStyle w:val="Akapitzlist"/>
              <w:numPr>
                <w:ilvl w:val="0"/>
                <w:numId w:val="31"/>
              </w:numPr>
              <w:spacing w:before="60" w:after="120"/>
              <w:jc w:val="both"/>
              <w:rPr>
                <w:rFonts w:eastAsia="Times New Roman" w:cstheme="minorHAnsi"/>
                <w:color w:val="000000" w:themeColor="text1"/>
                <w:sz w:val="24"/>
                <w:szCs w:val="24"/>
              </w:rPr>
            </w:pPr>
            <w:r w:rsidRPr="00511C7D">
              <w:rPr>
                <w:rFonts w:eastAsia="Times New Roman" w:cstheme="minorHAnsi"/>
                <w:color w:val="000000" w:themeColor="text1"/>
                <w:sz w:val="24"/>
                <w:szCs w:val="24"/>
              </w:rPr>
              <w:t>powyżej 300 kg do 400 kg</w:t>
            </w:r>
            <w:r w:rsidR="00EA33CE" w:rsidRPr="00511C7D">
              <w:rPr>
                <w:rFonts w:eastAsia="Times New Roman" w:cstheme="minorHAnsi"/>
                <w:color w:val="000000" w:themeColor="text1"/>
                <w:sz w:val="24"/>
                <w:szCs w:val="24"/>
              </w:rPr>
              <w:t xml:space="preserve"> – zamawiający przydzieli </w:t>
            </w:r>
            <w:r w:rsidRPr="00511C7D">
              <w:rPr>
                <w:rFonts w:eastAsia="Times New Roman" w:cstheme="minorHAnsi"/>
                <w:b/>
                <w:color w:val="000000" w:themeColor="text1"/>
                <w:sz w:val="24"/>
                <w:szCs w:val="24"/>
              </w:rPr>
              <w:t>8</w:t>
            </w:r>
            <w:r w:rsidR="00EA33CE" w:rsidRPr="00511C7D">
              <w:rPr>
                <w:rFonts w:eastAsia="Times New Roman" w:cstheme="minorHAnsi"/>
                <w:b/>
                <w:color w:val="000000" w:themeColor="text1"/>
                <w:sz w:val="24"/>
                <w:szCs w:val="24"/>
              </w:rPr>
              <w:t xml:space="preserve"> pkt</w:t>
            </w:r>
            <w:r w:rsidR="00EA33CE" w:rsidRPr="00511C7D">
              <w:rPr>
                <w:rFonts w:eastAsia="Times New Roman" w:cstheme="minorHAnsi"/>
                <w:color w:val="000000" w:themeColor="text1"/>
                <w:sz w:val="24"/>
                <w:szCs w:val="24"/>
              </w:rPr>
              <w:t>.</w:t>
            </w:r>
          </w:p>
          <w:p w14:paraId="739FBD72" w14:textId="46DF3860" w:rsidR="00EA33CE" w:rsidRPr="00511C7D" w:rsidRDefault="00CF2B17" w:rsidP="00EA33CE">
            <w:pPr>
              <w:pStyle w:val="Akapitzlist"/>
              <w:numPr>
                <w:ilvl w:val="0"/>
                <w:numId w:val="31"/>
              </w:numPr>
              <w:spacing w:before="60" w:after="120"/>
              <w:jc w:val="both"/>
              <w:rPr>
                <w:rFonts w:eastAsia="Times New Roman" w:cstheme="minorHAnsi"/>
                <w:color w:val="000000" w:themeColor="text1"/>
                <w:sz w:val="24"/>
                <w:szCs w:val="24"/>
              </w:rPr>
            </w:pPr>
            <w:r w:rsidRPr="00511C7D">
              <w:rPr>
                <w:rFonts w:eastAsia="Times New Roman" w:cstheme="minorHAnsi"/>
                <w:color w:val="000000" w:themeColor="text1"/>
                <w:sz w:val="24"/>
                <w:szCs w:val="24"/>
              </w:rPr>
              <w:t xml:space="preserve">powyżej 400 kg do 500 kg </w:t>
            </w:r>
            <w:r w:rsidR="00EA33CE" w:rsidRPr="00511C7D">
              <w:rPr>
                <w:rFonts w:eastAsia="Times New Roman" w:cstheme="minorHAnsi"/>
                <w:color w:val="000000" w:themeColor="text1"/>
                <w:sz w:val="24"/>
                <w:szCs w:val="24"/>
              </w:rPr>
              <w:t xml:space="preserve">– zamawiający przydzieli </w:t>
            </w:r>
            <w:r w:rsidRPr="00511C7D">
              <w:rPr>
                <w:rFonts w:eastAsia="Times New Roman" w:cstheme="minorHAnsi"/>
                <w:b/>
                <w:color w:val="000000" w:themeColor="text1"/>
                <w:sz w:val="24"/>
                <w:szCs w:val="24"/>
              </w:rPr>
              <w:t>12</w:t>
            </w:r>
            <w:r w:rsidR="00EA33CE" w:rsidRPr="00511C7D">
              <w:rPr>
                <w:rFonts w:eastAsia="Times New Roman" w:cstheme="minorHAnsi"/>
                <w:b/>
                <w:color w:val="000000" w:themeColor="text1"/>
                <w:sz w:val="24"/>
                <w:szCs w:val="24"/>
              </w:rPr>
              <w:t xml:space="preserve"> pkt</w:t>
            </w:r>
            <w:r w:rsidR="00EA33CE" w:rsidRPr="00511C7D">
              <w:rPr>
                <w:rFonts w:eastAsia="Times New Roman" w:cstheme="minorHAnsi"/>
                <w:color w:val="000000" w:themeColor="text1"/>
                <w:sz w:val="24"/>
                <w:szCs w:val="24"/>
              </w:rPr>
              <w:t>.</w:t>
            </w:r>
          </w:p>
          <w:p w14:paraId="5233BA58" w14:textId="2A829BFF" w:rsidR="00EA33CE" w:rsidRPr="00511C7D" w:rsidRDefault="00EA33CE" w:rsidP="00EA33CE">
            <w:pPr>
              <w:spacing w:before="60" w:after="120"/>
              <w:jc w:val="both"/>
              <w:rPr>
                <w:rFonts w:asciiTheme="minorHAnsi" w:eastAsia="Times New Roman" w:hAnsiTheme="minorHAnsi" w:cstheme="minorHAnsi"/>
                <w:b/>
                <w:color w:val="000000" w:themeColor="text1"/>
                <w:sz w:val="24"/>
                <w:szCs w:val="24"/>
              </w:rPr>
            </w:pPr>
            <w:r w:rsidRPr="00511C7D">
              <w:rPr>
                <w:rFonts w:asciiTheme="minorHAnsi" w:eastAsia="Times New Roman" w:hAnsiTheme="minorHAnsi" w:cstheme="minorHAnsi"/>
                <w:color w:val="000000" w:themeColor="text1"/>
                <w:sz w:val="24"/>
                <w:szCs w:val="24"/>
              </w:rPr>
              <w:t xml:space="preserve">- </w:t>
            </w:r>
            <w:r w:rsidR="00CF2B17" w:rsidRPr="00511C7D">
              <w:rPr>
                <w:rFonts w:asciiTheme="minorHAnsi" w:eastAsia="Times New Roman" w:hAnsiTheme="minorHAnsi" w:cstheme="minorHAnsi"/>
                <w:color w:val="000000" w:themeColor="text1"/>
                <w:sz w:val="24"/>
                <w:szCs w:val="24"/>
              </w:rPr>
              <w:t xml:space="preserve">za </w:t>
            </w:r>
            <w:r w:rsidR="003D19C5" w:rsidRPr="00D01E90">
              <w:rPr>
                <w:rFonts w:asciiTheme="minorHAnsi" w:eastAsia="Times New Roman" w:hAnsiTheme="minorHAnsi" w:cstheme="minorHAnsi"/>
                <w:color w:val="000000" w:themeColor="text1"/>
                <w:sz w:val="24"/>
                <w:szCs w:val="24"/>
              </w:rPr>
              <w:t>dodatkowy system udarowy</w:t>
            </w:r>
            <w:r w:rsidR="000221C7" w:rsidRPr="00D01E90">
              <w:rPr>
                <w:rFonts w:asciiTheme="minorHAnsi" w:eastAsia="Times New Roman" w:hAnsiTheme="minorHAnsi" w:cstheme="minorHAnsi"/>
                <w:color w:val="000000" w:themeColor="text1"/>
                <w:sz w:val="24"/>
                <w:szCs w:val="24"/>
              </w:rPr>
              <w:t xml:space="preserve"> pozwalający na wykonanie testów zgodnie z UN38.3 badanie T.4 Udary dla próbek o masie maksymalnej do </w:t>
            </w:r>
            <w:r w:rsidR="007A7C97">
              <w:rPr>
                <w:rFonts w:asciiTheme="minorHAnsi" w:eastAsia="Times New Roman" w:hAnsiTheme="minorHAnsi" w:cstheme="minorHAnsi"/>
                <w:color w:val="000000" w:themeColor="text1"/>
                <w:sz w:val="24"/>
                <w:szCs w:val="24"/>
              </w:rPr>
              <w:t>1</w:t>
            </w:r>
            <w:r w:rsidR="000221C7" w:rsidRPr="00D01E90">
              <w:rPr>
                <w:rFonts w:asciiTheme="minorHAnsi" w:eastAsia="Times New Roman" w:hAnsiTheme="minorHAnsi" w:cstheme="minorHAnsi"/>
                <w:color w:val="000000" w:themeColor="text1"/>
                <w:sz w:val="24"/>
                <w:szCs w:val="24"/>
              </w:rPr>
              <w:t>50 kg</w:t>
            </w:r>
            <w:r w:rsidRPr="00D01E90">
              <w:rPr>
                <w:rFonts w:asciiTheme="minorHAnsi" w:eastAsia="Times New Roman" w:hAnsiTheme="minorHAnsi" w:cstheme="minorHAnsi"/>
                <w:color w:val="000000" w:themeColor="text1"/>
                <w:sz w:val="24"/>
                <w:szCs w:val="24"/>
              </w:rPr>
              <w:t xml:space="preserve"> – zamawiający</w:t>
            </w:r>
            <w:r w:rsidRPr="00511C7D">
              <w:rPr>
                <w:rFonts w:asciiTheme="minorHAnsi" w:eastAsia="Times New Roman" w:hAnsiTheme="minorHAnsi" w:cstheme="minorHAnsi"/>
                <w:color w:val="000000" w:themeColor="text1"/>
                <w:sz w:val="24"/>
                <w:szCs w:val="24"/>
              </w:rPr>
              <w:t xml:space="preserve"> przydzieli</w:t>
            </w:r>
            <w:r w:rsidR="00CF2B17" w:rsidRPr="00511C7D">
              <w:rPr>
                <w:rFonts w:asciiTheme="minorHAnsi" w:eastAsia="Times New Roman" w:hAnsiTheme="minorHAnsi" w:cstheme="minorHAnsi"/>
                <w:b/>
                <w:color w:val="000000" w:themeColor="text1"/>
                <w:sz w:val="24"/>
                <w:szCs w:val="24"/>
              </w:rPr>
              <w:t xml:space="preserve"> 6</w:t>
            </w:r>
            <w:r w:rsidRPr="00511C7D">
              <w:rPr>
                <w:rFonts w:asciiTheme="minorHAnsi" w:eastAsia="Times New Roman" w:hAnsiTheme="minorHAnsi" w:cstheme="minorHAnsi"/>
                <w:b/>
                <w:color w:val="000000" w:themeColor="text1"/>
                <w:sz w:val="24"/>
                <w:szCs w:val="24"/>
              </w:rPr>
              <w:t xml:space="preserve"> pkt.</w:t>
            </w:r>
          </w:p>
          <w:p w14:paraId="2580AC98" w14:textId="4712C442" w:rsidR="00EA33CE" w:rsidRPr="00EA33CE" w:rsidRDefault="00EA33CE" w:rsidP="00EA33CE">
            <w:pPr>
              <w:spacing w:before="60" w:after="120"/>
              <w:jc w:val="both"/>
              <w:rPr>
                <w:rFonts w:asciiTheme="minorHAnsi" w:eastAsia="Times New Roman" w:hAnsiTheme="minorHAnsi" w:cstheme="minorHAnsi"/>
                <w:b/>
                <w:color w:val="000000" w:themeColor="text1"/>
                <w:sz w:val="24"/>
                <w:szCs w:val="24"/>
              </w:rPr>
            </w:pPr>
            <w:r w:rsidRPr="00511C7D">
              <w:rPr>
                <w:rFonts w:asciiTheme="minorHAnsi" w:eastAsia="Times New Roman" w:hAnsiTheme="minorHAnsi" w:cstheme="minorHAnsi"/>
                <w:color w:val="000000" w:themeColor="text1"/>
                <w:sz w:val="24"/>
                <w:szCs w:val="24"/>
              </w:rPr>
              <w:t xml:space="preserve">- </w:t>
            </w:r>
            <w:r w:rsidR="00CF2B17" w:rsidRPr="00511C7D">
              <w:rPr>
                <w:rFonts w:asciiTheme="minorHAnsi" w:eastAsia="Times New Roman" w:hAnsiTheme="minorHAnsi" w:cstheme="minorHAnsi"/>
                <w:color w:val="000000" w:themeColor="text1"/>
                <w:sz w:val="24"/>
                <w:szCs w:val="24"/>
              </w:rPr>
              <w:t xml:space="preserve">za </w:t>
            </w:r>
            <w:r w:rsidR="003D19C5" w:rsidRPr="00511C7D">
              <w:rPr>
                <w:rFonts w:asciiTheme="minorHAnsi" w:eastAsia="Times New Roman" w:hAnsiTheme="minorHAnsi" w:cstheme="minorHAnsi"/>
                <w:color w:val="000000" w:themeColor="text1"/>
                <w:sz w:val="24"/>
                <w:szCs w:val="24"/>
              </w:rPr>
              <w:t xml:space="preserve">dodatkowy </w:t>
            </w:r>
            <w:proofErr w:type="spellStart"/>
            <w:r w:rsidR="003D19C5" w:rsidRPr="00511C7D">
              <w:rPr>
                <w:rFonts w:asciiTheme="minorHAnsi" w:eastAsia="Times New Roman" w:hAnsiTheme="minorHAnsi" w:cstheme="minorHAnsi"/>
                <w:color w:val="000000" w:themeColor="text1"/>
                <w:sz w:val="24"/>
                <w:szCs w:val="24"/>
              </w:rPr>
              <w:t>head</w:t>
            </w:r>
            <w:proofErr w:type="spellEnd"/>
            <w:r w:rsidR="003D19C5" w:rsidRPr="00511C7D">
              <w:rPr>
                <w:rFonts w:asciiTheme="minorHAnsi" w:eastAsia="Times New Roman" w:hAnsiTheme="minorHAnsi" w:cstheme="minorHAnsi"/>
                <w:color w:val="000000" w:themeColor="text1"/>
                <w:sz w:val="24"/>
                <w:szCs w:val="24"/>
              </w:rPr>
              <w:t xml:space="preserve"> </w:t>
            </w:r>
            <w:proofErr w:type="spellStart"/>
            <w:r w:rsidR="003D19C5" w:rsidRPr="00511C7D">
              <w:rPr>
                <w:rFonts w:asciiTheme="minorHAnsi" w:eastAsia="Times New Roman" w:hAnsiTheme="minorHAnsi" w:cstheme="minorHAnsi"/>
                <w:color w:val="000000" w:themeColor="text1"/>
                <w:sz w:val="24"/>
                <w:szCs w:val="24"/>
              </w:rPr>
              <w:t>expander</w:t>
            </w:r>
            <w:proofErr w:type="spellEnd"/>
            <w:r w:rsidR="003D19C5" w:rsidRPr="00511C7D">
              <w:rPr>
                <w:rFonts w:asciiTheme="minorHAnsi" w:eastAsia="Times New Roman" w:hAnsiTheme="minorHAnsi" w:cstheme="minorHAnsi"/>
                <w:color w:val="000000" w:themeColor="text1"/>
                <w:sz w:val="24"/>
                <w:szCs w:val="24"/>
              </w:rPr>
              <w:t xml:space="preserve"> o wymiarach 1000x10</w:t>
            </w:r>
            <w:r w:rsidR="00CF2B17" w:rsidRPr="00511C7D">
              <w:rPr>
                <w:rFonts w:asciiTheme="minorHAnsi" w:eastAsia="Times New Roman" w:hAnsiTheme="minorHAnsi" w:cstheme="minorHAnsi"/>
                <w:color w:val="000000" w:themeColor="text1"/>
                <w:sz w:val="24"/>
                <w:szCs w:val="24"/>
              </w:rPr>
              <w:t>00</w:t>
            </w:r>
            <w:r w:rsidR="003D19C5" w:rsidRPr="00511C7D">
              <w:rPr>
                <w:rFonts w:asciiTheme="minorHAnsi" w:eastAsia="Times New Roman" w:hAnsiTheme="minorHAnsi" w:cstheme="minorHAnsi"/>
                <w:color w:val="000000" w:themeColor="text1"/>
                <w:sz w:val="24"/>
                <w:szCs w:val="24"/>
              </w:rPr>
              <w:t xml:space="preserve">                             </w:t>
            </w:r>
            <w:r w:rsidRPr="00511C7D">
              <w:rPr>
                <w:rFonts w:asciiTheme="minorHAnsi" w:eastAsia="Times New Roman" w:hAnsiTheme="minorHAnsi" w:cstheme="minorHAnsi"/>
                <w:color w:val="000000" w:themeColor="text1"/>
                <w:sz w:val="24"/>
                <w:szCs w:val="24"/>
              </w:rPr>
              <w:t>– zamawiający przydzieli</w:t>
            </w:r>
            <w:r w:rsidR="00CF2B17" w:rsidRPr="00511C7D">
              <w:rPr>
                <w:rFonts w:asciiTheme="minorHAnsi" w:eastAsia="Times New Roman" w:hAnsiTheme="minorHAnsi" w:cstheme="minorHAnsi"/>
                <w:b/>
                <w:color w:val="000000" w:themeColor="text1"/>
                <w:sz w:val="24"/>
                <w:szCs w:val="24"/>
              </w:rPr>
              <w:t xml:space="preserve"> 4</w:t>
            </w:r>
            <w:r w:rsidRPr="00511C7D">
              <w:rPr>
                <w:rFonts w:asciiTheme="minorHAnsi" w:eastAsia="Times New Roman" w:hAnsiTheme="minorHAnsi" w:cstheme="minorHAnsi"/>
                <w:b/>
                <w:color w:val="000000" w:themeColor="text1"/>
                <w:sz w:val="24"/>
                <w:szCs w:val="24"/>
              </w:rPr>
              <w:t xml:space="preserve"> pkt.</w:t>
            </w:r>
          </w:p>
          <w:p w14:paraId="546A08E7" w14:textId="77777777" w:rsidR="00EA33CE" w:rsidRPr="00EA33CE" w:rsidRDefault="00EA33CE" w:rsidP="00EA33CE">
            <w:pPr>
              <w:spacing w:before="60"/>
              <w:jc w:val="both"/>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color w:val="000000" w:themeColor="text1"/>
                <w:sz w:val="24"/>
                <w:szCs w:val="24"/>
              </w:rPr>
              <w:t>Maksymalnie w tym kryterium wykonawca może otrzymać 22 pkt.</w:t>
            </w:r>
          </w:p>
        </w:tc>
      </w:tr>
    </w:tbl>
    <w:p w14:paraId="0DCD2C11" w14:textId="77777777" w:rsidR="00EA33CE" w:rsidRPr="00EA33CE" w:rsidRDefault="00EA33CE" w:rsidP="00EA33CE">
      <w:pPr>
        <w:pStyle w:val="Akapitzlist"/>
        <w:spacing w:after="0" w:line="240" w:lineRule="auto"/>
        <w:ind w:left="567"/>
        <w:jc w:val="both"/>
        <w:rPr>
          <w:rFonts w:eastAsia="Times New Roman" w:cstheme="minorHAnsi"/>
          <w:b/>
          <w:sz w:val="24"/>
          <w:szCs w:val="24"/>
          <w:lang w:eastAsia="pl-PL"/>
        </w:rPr>
      </w:pPr>
    </w:p>
    <w:p w14:paraId="13203E5B" w14:textId="77777777" w:rsidR="00EA33CE" w:rsidRPr="00EA33CE" w:rsidRDefault="00EA33CE" w:rsidP="00EA33CE">
      <w:pPr>
        <w:shd w:val="clear" w:color="auto" w:fill="FFFFFF"/>
        <w:ind w:right="100"/>
        <w:contextualSpacing/>
        <w:jc w:val="both"/>
        <w:rPr>
          <w:rFonts w:asciiTheme="minorHAnsi" w:eastAsia="Times New Roman" w:hAnsiTheme="minorHAnsi" w:cstheme="minorHAnsi"/>
          <w:sz w:val="24"/>
          <w:szCs w:val="24"/>
        </w:rPr>
      </w:pPr>
      <w:r w:rsidRPr="00EA33CE">
        <w:rPr>
          <w:rFonts w:asciiTheme="minorHAnsi" w:eastAsia="Times New Roman" w:hAnsiTheme="minorHAnsi" w:cstheme="minorHAnsi"/>
          <w:b/>
          <w:sz w:val="24"/>
          <w:szCs w:val="24"/>
          <w:u w:val="single"/>
        </w:rPr>
        <w:t>Uwaga:</w:t>
      </w:r>
      <w:r w:rsidRPr="00EA33CE">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5704D9B0" w14:textId="77777777" w:rsidR="00EA33CE" w:rsidRPr="00EA33CE" w:rsidRDefault="00EA33CE" w:rsidP="00EA33CE">
      <w:pPr>
        <w:shd w:val="clear" w:color="auto" w:fill="FFFFFF"/>
        <w:ind w:right="100"/>
        <w:contextualSpacing/>
        <w:jc w:val="both"/>
        <w:rPr>
          <w:rFonts w:asciiTheme="minorHAnsi" w:eastAsia="Times New Roman" w:hAnsiTheme="minorHAnsi" w:cstheme="minorHAnsi"/>
          <w:color w:val="000000"/>
          <w:sz w:val="24"/>
          <w:szCs w:val="24"/>
        </w:rPr>
      </w:pPr>
    </w:p>
    <w:p w14:paraId="70200A5A" w14:textId="77777777" w:rsidR="00EA33CE" w:rsidRPr="00EA33CE" w:rsidRDefault="00EA33CE" w:rsidP="00EA33CE">
      <w:pPr>
        <w:contextualSpacing/>
        <w:jc w:val="both"/>
        <w:rPr>
          <w:rFonts w:asciiTheme="minorHAnsi" w:eastAsia="Times New Roman" w:hAnsiTheme="minorHAnsi" w:cstheme="minorHAnsi"/>
          <w:color w:val="000000"/>
          <w:sz w:val="24"/>
          <w:szCs w:val="24"/>
        </w:rPr>
      </w:pPr>
      <w:r w:rsidRPr="00EA33CE">
        <w:rPr>
          <w:rFonts w:asciiTheme="minorHAnsi" w:eastAsia="Times New Roman" w:hAnsiTheme="minorHAnsi" w:cstheme="minorHAnsi"/>
          <w:b/>
          <w:color w:val="000000"/>
          <w:sz w:val="24"/>
          <w:szCs w:val="24"/>
          <w:u w:val="single"/>
        </w:rPr>
        <w:t>Uwaga</w:t>
      </w:r>
      <w:r w:rsidRPr="00EA33CE">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183A2199" w14:textId="77777777" w:rsidR="00EA33CE" w:rsidRPr="00EA33CE" w:rsidRDefault="00EA33CE" w:rsidP="00EA33CE">
      <w:pPr>
        <w:tabs>
          <w:tab w:val="left" w:pos="567"/>
        </w:tabs>
        <w:contextualSpacing/>
        <w:jc w:val="both"/>
        <w:rPr>
          <w:rFonts w:asciiTheme="minorHAnsi" w:eastAsia="Times New Roman" w:hAnsiTheme="minorHAnsi" w:cstheme="minorHAnsi"/>
          <w:b/>
          <w:color w:val="000000"/>
          <w:sz w:val="24"/>
          <w:szCs w:val="24"/>
          <w:u w:val="single"/>
        </w:rPr>
      </w:pPr>
    </w:p>
    <w:p w14:paraId="0927AAA6" w14:textId="77777777" w:rsidR="00EA33CE" w:rsidRPr="00EA33CE" w:rsidRDefault="00EA33CE" w:rsidP="00EA33CE">
      <w:pPr>
        <w:tabs>
          <w:tab w:val="left" w:pos="567"/>
        </w:tabs>
        <w:contextualSpacing/>
        <w:jc w:val="both"/>
        <w:rPr>
          <w:rFonts w:asciiTheme="minorHAnsi" w:eastAsia="Times New Roman" w:hAnsiTheme="minorHAnsi" w:cstheme="minorHAnsi"/>
          <w:color w:val="000000"/>
          <w:sz w:val="24"/>
          <w:szCs w:val="24"/>
        </w:rPr>
      </w:pPr>
      <w:r w:rsidRPr="00EA33CE">
        <w:rPr>
          <w:rFonts w:asciiTheme="minorHAnsi" w:eastAsia="Times New Roman" w:hAnsiTheme="minorHAnsi" w:cstheme="minorHAnsi"/>
          <w:b/>
          <w:color w:val="000000"/>
          <w:sz w:val="24"/>
          <w:szCs w:val="24"/>
          <w:u w:val="single"/>
        </w:rPr>
        <w:t>Uwaga</w:t>
      </w:r>
      <w:r w:rsidRPr="00EA33CE">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51CA6165" w14:textId="77777777" w:rsidR="00EA33CE" w:rsidRPr="00EA33CE" w:rsidRDefault="00EA33CE" w:rsidP="00EA33CE">
      <w:pPr>
        <w:tabs>
          <w:tab w:val="left" w:pos="567"/>
        </w:tabs>
        <w:contextualSpacing/>
        <w:jc w:val="both"/>
        <w:rPr>
          <w:rFonts w:asciiTheme="minorHAnsi" w:eastAsia="Times New Roman" w:hAnsiTheme="minorHAnsi" w:cs="Times New Roman"/>
          <w:b/>
          <w:sz w:val="24"/>
          <w:szCs w:val="24"/>
          <w:lang w:eastAsia="pl-PL"/>
        </w:rPr>
      </w:pPr>
    </w:p>
    <w:p w14:paraId="5C073748"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Informacja na temat możliwości rozliczania się w walutach obcych</w:t>
      </w:r>
    </w:p>
    <w:p w14:paraId="1BE0ABF6" w14:textId="77777777"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będzie rozliczał się z Wykonawcą wyłącznie z uwzględnieniem waluty polskiej (PLN).</w:t>
      </w:r>
    </w:p>
    <w:p w14:paraId="1531B7F0" w14:textId="77777777" w:rsidR="00EA33CE" w:rsidRPr="00EA33CE" w:rsidRDefault="00EA33CE" w:rsidP="00EA33CE">
      <w:pPr>
        <w:tabs>
          <w:tab w:val="left" w:pos="426"/>
        </w:tabs>
        <w:contextualSpacing/>
        <w:jc w:val="both"/>
        <w:rPr>
          <w:rFonts w:asciiTheme="minorHAnsi" w:eastAsia="Times New Roman" w:hAnsiTheme="minorHAnsi" w:cs="Times New Roman"/>
          <w:b/>
          <w:sz w:val="24"/>
          <w:szCs w:val="24"/>
          <w:lang w:eastAsia="pl-PL"/>
        </w:rPr>
      </w:pPr>
    </w:p>
    <w:p w14:paraId="2F6A352D"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Informacje dotyczące umowy</w:t>
      </w:r>
    </w:p>
    <w:p w14:paraId="1886C1A9" w14:textId="77777777" w:rsidR="00EA33CE" w:rsidRPr="00EA33CE" w:rsidRDefault="00EA33CE" w:rsidP="00EA33CE">
      <w:pPr>
        <w:numPr>
          <w:ilvl w:val="0"/>
          <w:numId w:val="8"/>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Istotne dla Zamawiającego postanowienia umowy, zawiera wzór umowy stanowiący załącznik nr 4 do SWIZ.</w:t>
      </w:r>
    </w:p>
    <w:p w14:paraId="04C040B9" w14:textId="77777777" w:rsidR="00EA33CE" w:rsidRPr="00EA33CE" w:rsidRDefault="00EA33CE" w:rsidP="00EA33CE">
      <w:pPr>
        <w:numPr>
          <w:ilvl w:val="0"/>
          <w:numId w:val="8"/>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E7FA1E4" w14:textId="77777777" w:rsidR="00EA33CE" w:rsidRPr="00EA33CE" w:rsidRDefault="00EA33CE" w:rsidP="00EA33CE">
      <w:pPr>
        <w:numPr>
          <w:ilvl w:val="0"/>
          <w:numId w:val="8"/>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617299DE" w14:textId="77777777" w:rsidR="00EA33CE" w:rsidRPr="00EA33CE" w:rsidRDefault="00EA33CE" w:rsidP="00EA33CE">
      <w:pPr>
        <w:contextualSpacing/>
        <w:rPr>
          <w:rFonts w:asciiTheme="minorHAnsi" w:eastAsia="Times New Roman" w:hAnsiTheme="minorHAnsi" w:cs="Times New Roman"/>
          <w:sz w:val="24"/>
          <w:szCs w:val="24"/>
          <w:lang w:eastAsia="pl-PL"/>
        </w:rPr>
      </w:pPr>
    </w:p>
    <w:p w14:paraId="0485C506"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Wymagania dotyczące zabezpieczenia należytego wykonania umowy</w:t>
      </w:r>
    </w:p>
    <w:p w14:paraId="1AE435D3" w14:textId="77777777" w:rsidR="00EA33CE" w:rsidRPr="00EA33CE" w:rsidRDefault="00EA33CE" w:rsidP="00EA33CE">
      <w:pPr>
        <w:tabs>
          <w:tab w:val="left" w:pos="426"/>
        </w:tabs>
        <w:spacing w:line="240" w:lineRule="auto"/>
        <w:contextualSpacing/>
        <w:jc w:val="both"/>
        <w:rPr>
          <w:rFonts w:asciiTheme="minorHAnsi" w:eastAsia="Times New Roman" w:hAnsiTheme="minorHAnsi" w:cs="Times New Roman"/>
          <w:b/>
          <w:sz w:val="24"/>
          <w:szCs w:val="24"/>
          <w:lang w:eastAsia="pl-PL"/>
        </w:rPr>
      </w:pPr>
    </w:p>
    <w:p w14:paraId="3FF18D6F" w14:textId="77777777" w:rsidR="00EA33CE" w:rsidRPr="00EA33CE" w:rsidRDefault="00EA33CE" w:rsidP="00EA33CE">
      <w:pPr>
        <w:tabs>
          <w:tab w:val="left" w:pos="567"/>
        </w:tabs>
        <w:contextualSpacing/>
        <w:jc w:val="both"/>
        <w:rPr>
          <w:rFonts w:asciiTheme="minorHAnsi" w:hAnsiTheme="minorHAnsi" w:cs="Calibri"/>
          <w:sz w:val="24"/>
          <w:szCs w:val="24"/>
        </w:rPr>
      </w:pPr>
      <w:r w:rsidRPr="00EA33CE">
        <w:rPr>
          <w:rFonts w:asciiTheme="minorHAnsi" w:hAnsiTheme="minorHAnsi" w:cs="Calibri"/>
          <w:color w:val="000000"/>
          <w:sz w:val="24"/>
          <w:szCs w:val="24"/>
        </w:rPr>
        <w:t xml:space="preserve">Zamawiający </w:t>
      </w:r>
      <w:r w:rsidRPr="00EA33CE">
        <w:rPr>
          <w:rFonts w:asciiTheme="minorHAnsi" w:hAnsiTheme="minorHAnsi" w:cs="Calibri"/>
          <w:b/>
          <w:color w:val="000000"/>
          <w:sz w:val="24"/>
          <w:szCs w:val="24"/>
        </w:rPr>
        <w:t>nie wymaga</w:t>
      </w:r>
      <w:r w:rsidRPr="00EA33CE">
        <w:rPr>
          <w:rFonts w:asciiTheme="minorHAnsi" w:hAnsiTheme="minorHAnsi" w:cs="Calibri"/>
          <w:color w:val="000000"/>
          <w:sz w:val="24"/>
          <w:szCs w:val="24"/>
        </w:rPr>
        <w:t xml:space="preserve"> </w:t>
      </w:r>
      <w:r w:rsidRPr="00EA33CE">
        <w:rPr>
          <w:rFonts w:asciiTheme="minorHAnsi" w:hAnsiTheme="minorHAnsi" w:cs="Calibri"/>
          <w:sz w:val="24"/>
          <w:szCs w:val="24"/>
        </w:rPr>
        <w:t>wniesienia zabezpieczenia należytego wykonania umowy.</w:t>
      </w:r>
    </w:p>
    <w:p w14:paraId="30CBB47D" w14:textId="77777777" w:rsidR="00EA33CE" w:rsidRPr="00EA33CE" w:rsidRDefault="00EA33CE" w:rsidP="00EA33CE">
      <w:pPr>
        <w:tabs>
          <w:tab w:val="left" w:pos="426"/>
        </w:tabs>
        <w:spacing w:line="240" w:lineRule="auto"/>
        <w:contextualSpacing/>
        <w:jc w:val="both"/>
        <w:rPr>
          <w:rFonts w:asciiTheme="minorHAnsi" w:eastAsia="Times New Roman" w:hAnsiTheme="minorHAnsi" w:cs="Times New Roman"/>
          <w:b/>
          <w:sz w:val="24"/>
          <w:szCs w:val="24"/>
          <w:lang w:eastAsia="pl-PL"/>
        </w:rPr>
      </w:pPr>
    </w:p>
    <w:p w14:paraId="11D7FF19"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Pouczenie o środkach ochrony prawnej przysługujących wykonawcom w toku postępowania o udzielenie zamówienia publicznego</w:t>
      </w:r>
    </w:p>
    <w:p w14:paraId="266213D6" w14:textId="77777777" w:rsidR="00EA33CE" w:rsidRPr="00EA33CE" w:rsidRDefault="00EA33CE" w:rsidP="00EA33CE">
      <w:pPr>
        <w:tabs>
          <w:tab w:val="left" w:pos="426"/>
        </w:tabs>
        <w:contextualSpacing/>
        <w:jc w:val="both"/>
        <w:rPr>
          <w:rFonts w:asciiTheme="minorHAnsi" w:eastAsia="Times New Roman" w:hAnsiTheme="minorHAnsi" w:cs="Times New Roman"/>
          <w:b/>
          <w:sz w:val="24"/>
          <w:szCs w:val="24"/>
          <w:lang w:eastAsia="pl-PL"/>
        </w:rPr>
      </w:pPr>
    </w:p>
    <w:p w14:paraId="1B9FC399" w14:textId="77777777"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5B1F89AA" w14:textId="77777777"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Odwołanie wnosi się</w:t>
      </w:r>
      <w:r w:rsidRPr="00EA33CE">
        <w:rPr>
          <w:rFonts w:asciiTheme="minorHAnsi" w:eastAsia="Times New Roman" w:hAnsiTheme="minorHAnsi" w:cs="Times New Roman"/>
          <w:b/>
          <w:sz w:val="24"/>
          <w:szCs w:val="24"/>
          <w:lang w:eastAsia="pl-PL"/>
        </w:rPr>
        <w:t xml:space="preserve"> </w:t>
      </w:r>
      <w:r w:rsidRPr="00EA33CE">
        <w:rPr>
          <w:rFonts w:asciiTheme="minorHAnsi" w:eastAsia="Times New Roman" w:hAnsiTheme="minorHAnsi" w:cs="Times New Roman"/>
          <w:sz w:val="24"/>
          <w:szCs w:val="24"/>
          <w:lang w:eastAsia="pl-PL"/>
        </w:rPr>
        <w:t xml:space="preserve">w terminie </w:t>
      </w:r>
      <w:r w:rsidRPr="00EA33CE">
        <w:rPr>
          <w:rFonts w:asciiTheme="minorHAnsi" w:eastAsia="Times New Roman" w:hAnsiTheme="minorHAnsi" w:cs="Times New Roman"/>
          <w:sz w:val="24"/>
          <w:szCs w:val="24"/>
          <w:u w:val="single"/>
          <w:lang w:eastAsia="pl-PL"/>
        </w:rPr>
        <w:t xml:space="preserve">10 dni </w:t>
      </w:r>
      <w:r w:rsidRPr="00EA33CE">
        <w:rPr>
          <w:rFonts w:asciiTheme="minorHAnsi" w:eastAsia="Times New Roman" w:hAnsiTheme="minorHAnsi" w:cs="Times New Roman"/>
          <w:sz w:val="24"/>
          <w:szCs w:val="24"/>
          <w:lang w:eastAsia="pl-PL"/>
        </w:rPr>
        <w:t xml:space="preserve">od dnia przesłania informacji o czynności zamawiającego stanowiącej podstawę jego wniesienia – jeżeli zostały przesłane w sposób określony w art. 180 ust.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zdanie drugie albo w terminie </w:t>
      </w:r>
      <w:r w:rsidRPr="00EA33CE">
        <w:rPr>
          <w:rFonts w:asciiTheme="minorHAnsi" w:eastAsia="Times New Roman" w:hAnsiTheme="minorHAnsi" w:cs="Times New Roman"/>
          <w:sz w:val="24"/>
          <w:szCs w:val="24"/>
          <w:u w:val="single"/>
          <w:lang w:eastAsia="pl-PL"/>
        </w:rPr>
        <w:t>15 dni</w:t>
      </w:r>
      <w:r w:rsidRPr="00EA33CE">
        <w:rPr>
          <w:rFonts w:asciiTheme="minorHAnsi" w:eastAsia="Times New Roman" w:hAnsiTheme="minorHAnsi" w:cs="Times New Roman"/>
          <w:sz w:val="24"/>
          <w:szCs w:val="24"/>
          <w:lang w:eastAsia="pl-PL"/>
        </w:rPr>
        <w:t xml:space="preserve"> – jeżeli zostały przesłane w inny sposób – w przypadku gdy wartość zamówienia jest równa lub przekracza kwoty określone w przepisach wydanych na podstawie art. 11 ust. 8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14:paraId="63F12ABA" w14:textId="77777777"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w:t>
      </w:r>
    </w:p>
    <w:p w14:paraId="360117F5" w14:textId="77777777"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wniesienia odwołania wobec treści ogłoszenia o zamówieniu lub postanowień SIWZ, Zamawiający może przedłużyć termin składania ofert.</w:t>
      </w:r>
    </w:p>
    <w:p w14:paraId="6300EB8B" w14:textId="77777777"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wniesienia odwołania po upływie terminu składania ofert bieg terminu zwi</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zania ofert</w:t>
      </w:r>
      <w:r w:rsidRPr="00EA33CE">
        <w:rPr>
          <w:rFonts w:asciiTheme="minorHAnsi" w:eastAsia="TimesNewRoman,Bold" w:hAnsiTheme="minorHAnsi" w:cs="Times New Roman"/>
          <w:sz w:val="24"/>
          <w:szCs w:val="24"/>
          <w:lang w:eastAsia="pl-PL"/>
        </w:rPr>
        <w:t xml:space="preserve">ą </w:t>
      </w:r>
      <w:r w:rsidRPr="00EA33CE">
        <w:rPr>
          <w:rFonts w:asciiTheme="minorHAnsi" w:eastAsia="Times New Roman" w:hAnsiTheme="minorHAnsi" w:cs="Times New Roman"/>
          <w:sz w:val="24"/>
          <w:szCs w:val="24"/>
          <w:lang w:eastAsia="pl-PL"/>
        </w:rPr>
        <w:t>ulega zawieszeniu do czasu ogłoszenia przez Izb</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orzeczenia.</w:t>
      </w:r>
    </w:p>
    <w:p w14:paraId="35590FA9" w14:textId="77777777"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4BA89E8" w14:textId="77777777"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EA33CE">
        <w:rPr>
          <w:rFonts w:asciiTheme="minorHAnsi" w:eastAsia="Times New Roman" w:hAnsiTheme="minorHAnsi" w:cs="Times New Roman"/>
          <w:bCs/>
          <w:sz w:val="24"/>
          <w:szCs w:val="24"/>
          <w:lang w:eastAsia="pl-PL"/>
        </w:rPr>
        <w:t xml:space="preserve">(art. 180 ust. 4 ustawy </w:t>
      </w:r>
      <w:proofErr w:type="spellStart"/>
      <w:r w:rsidRPr="00EA33CE">
        <w:rPr>
          <w:rFonts w:asciiTheme="minorHAnsi" w:eastAsia="Times New Roman" w:hAnsiTheme="minorHAnsi" w:cs="Times New Roman"/>
          <w:bCs/>
          <w:sz w:val="24"/>
          <w:szCs w:val="24"/>
          <w:lang w:eastAsia="pl-PL"/>
        </w:rPr>
        <w:t>Pzp</w:t>
      </w:r>
      <w:proofErr w:type="spellEnd"/>
      <w:r w:rsidRPr="00EA33CE">
        <w:rPr>
          <w:rFonts w:asciiTheme="minorHAnsi" w:eastAsia="Times New Roman" w:hAnsiTheme="minorHAnsi" w:cs="Times New Roman"/>
          <w:bCs/>
          <w:sz w:val="24"/>
          <w:szCs w:val="24"/>
          <w:lang w:eastAsia="pl-PL"/>
        </w:rPr>
        <w:t>).</w:t>
      </w:r>
    </w:p>
    <w:p w14:paraId="73495601" w14:textId="77777777"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EA33CE">
        <w:rPr>
          <w:rFonts w:asciiTheme="minorHAnsi" w:eastAsia="Times New Roman" w:hAnsiTheme="minorHAnsi"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EA33CE">
        <w:rPr>
          <w:rFonts w:asciiTheme="minorHAnsi" w:eastAsia="Times New Roman" w:hAnsiTheme="minorHAnsi" w:cs="Times New Roman"/>
          <w:sz w:val="24"/>
          <w:szCs w:val="24"/>
          <w:u w:val="single"/>
          <w:lang w:eastAsia="pl-PL"/>
        </w:rPr>
        <w:t>.</w:t>
      </w:r>
    </w:p>
    <w:p w14:paraId="5F756490" w14:textId="77777777"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lastRenderedPageBreak/>
        <w:t>Na orzeczenie Izby stronom oraz uczestnikom post</w:t>
      </w:r>
      <w:r w:rsidRPr="00EA33CE">
        <w:rPr>
          <w:rFonts w:asciiTheme="minorHAnsi" w:eastAsia="TimesNewRoman,Bold" w:hAnsiTheme="minorHAnsi" w:cs="Times New Roman"/>
          <w:sz w:val="24"/>
          <w:szCs w:val="24"/>
          <w:lang w:eastAsia="pl-PL"/>
        </w:rPr>
        <w:t>ę</w:t>
      </w:r>
      <w:r w:rsidRPr="00EA33CE">
        <w:rPr>
          <w:rFonts w:asciiTheme="minorHAnsi" w:eastAsia="Times New Roman" w:hAnsiTheme="minorHAnsi" w:cs="Times New Roman"/>
          <w:sz w:val="24"/>
          <w:szCs w:val="24"/>
          <w:lang w:eastAsia="pl-PL"/>
        </w:rPr>
        <w:t>powania odwoławczego przysługuje skarga do s</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du.</w:t>
      </w:r>
    </w:p>
    <w:p w14:paraId="359FE06C" w14:textId="77777777"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Skarg</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wnosi si</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do s</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du okr</w:t>
      </w:r>
      <w:r w:rsidRPr="00EA33CE">
        <w:rPr>
          <w:rFonts w:asciiTheme="minorHAnsi" w:eastAsia="TimesNewRoman,Bold" w:hAnsiTheme="minorHAnsi" w:cs="Times New Roman"/>
          <w:sz w:val="24"/>
          <w:szCs w:val="24"/>
          <w:lang w:eastAsia="pl-PL"/>
        </w:rPr>
        <w:t>ę</w:t>
      </w:r>
      <w:r w:rsidRPr="00EA33CE">
        <w:rPr>
          <w:rFonts w:asciiTheme="minorHAnsi" w:eastAsia="Times New Roman" w:hAnsiTheme="minorHAnsi" w:cs="Times New Roman"/>
          <w:sz w:val="24"/>
          <w:szCs w:val="24"/>
          <w:lang w:eastAsia="pl-PL"/>
        </w:rPr>
        <w:t>gowego wła</w:t>
      </w:r>
      <w:r w:rsidRPr="00EA33CE">
        <w:rPr>
          <w:rFonts w:asciiTheme="minorHAnsi" w:eastAsia="TimesNewRoman,Bold" w:hAnsiTheme="minorHAnsi" w:cs="Times New Roman"/>
          <w:sz w:val="24"/>
          <w:szCs w:val="24"/>
          <w:lang w:eastAsia="pl-PL"/>
        </w:rPr>
        <w:t>ś</w:t>
      </w:r>
      <w:r w:rsidRPr="00EA33CE">
        <w:rPr>
          <w:rFonts w:asciiTheme="minorHAnsi" w:eastAsia="Times New Roman" w:hAnsiTheme="minorHAnsi" w:cs="Times New Roman"/>
          <w:sz w:val="24"/>
          <w:szCs w:val="24"/>
          <w:lang w:eastAsia="pl-PL"/>
        </w:rPr>
        <w:t>ciwego dla siedziby albo miejsca zamieszkania Zamawiaj</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cego. Skarg</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wnosi si</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za po</w:t>
      </w:r>
      <w:r w:rsidRPr="00EA33CE">
        <w:rPr>
          <w:rFonts w:asciiTheme="minorHAnsi" w:eastAsia="TimesNewRoman,Bold" w:hAnsiTheme="minorHAnsi" w:cs="Times New Roman"/>
          <w:sz w:val="24"/>
          <w:szCs w:val="24"/>
          <w:lang w:eastAsia="pl-PL"/>
        </w:rPr>
        <w:t>ś</w:t>
      </w:r>
      <w:r w:rsidRPr="00EA33CE">
        <w:rPr>
          <w:rFonts w:asciiTheme="minorHAnsi" w:eastAsia="Times New Roman" w:hAnsiTheme="minorHAnsi" w:cs="Times New Roman"/>
          <w:sz w:val="24"/>
          <w:szCs w:val="24"/>
          <w:lang w:eastAsia="pl-PL"/>
        </w:rPr>
        <w:t>rednictwem Prezesa Izby w terminie 7 dni od dnia dor</w:t>
      </w:r>
      <w:r w:rsidRPr="00EA33CE">
        <w:rPr>
          <w:rFonts w:asciiTheme="minorHAnsi" w:eastAsia="TimesNewRoman,Bold" w:hAnsiTheme="minorHAnsi" w:cs="Times New Roman"/>
          <w:sz w:val="24"/>
          <w:szCs w:val="24"/>
          <w:lang w:eastAsia="pl-PL"/>
        </w:rPr>
        <w:t>ę</w:t>
      </w:r>
      <w:r w:rsidRPr="00EA33CE">
        <w:rPr>
          <w:rFonts w:asciiTheme="minorHAnsi" w:eastAsia="Times New Roman" w:hAnsiTheme="minorHAnsi" w:cs="Times New Roman"/>
          <w:sz w:val="24"/>
          <w:szCs w:val="24"/>
          <w:lang w:eastAsia="pl-PL"/>
        </w:rPr>
        <w:t>czenia orzeczenia Izby, przesyłaj</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c jednocze</w:t>
      </w:r>
      <w:r w:rsidRPr="00EA33CE">
        <w:rPr>
          <w:rFonts w:asciiTheme="minorHAnsi" w:eastAsia="TimesNewRoman,Bold" w:hAnsiTheme="minorHAnsi" w:cs="Times New Roman"/>
          <w:sz w:val="24"/>
          <w:szCs w:val="24"/>
          <w:lang w:eastAsia="pl-PL"/>
        </w:rPr>
        <w:t>ś</w:t>
      </w:r>
      <w:r w:rsidRPr="00EA33CE">
        <w:rPr>
          <w:rFonts w:asciiTheme="minorHAnsi" w:eastAsia="Times New Roman" w:hAnsiTheme="minorHAnsi" w:cs="Times New Roman"/>
          <w:sz w:val="24"/>
          <w:szCs w:val="24"/>
          <w:lang w:eastAsia="pl-PL"/>
        </w:rPr>
        <w:t>nie jej odpis przeciwnikowi skargi. Zło</w:t>
      </w:r>
      <w:r w:rsidRPr="00EA33CE">
        <w:rPr>
          <w:rFonts w:asciiTheme="minorHAnsi" w:eastAsia="TimesNewRoman,Bold" w:hAnsiTheme="minorHAnsi" w:cs="Times New Roman"/>
          <w:sz w:val="24"/>
          <w:szCs w:val="24"/>
          <w:lang w:eastAsia="pl-PL"/>
        </w:rPr>
        <w:t>ż</w:t>
      </w:r>
      <w:r w:rsidRPr="00EA33CE">
        <w:rPr>
          <w:rFonts w:asciiTheme="minorHAnsi" w:eastAsia="Times New Roman" w:hAnsiTheme="minorHAnsi" w:cs="Times New Roman"/>
          <w:sz w:val="24"/>
          <w:szCs w:val="24"/>
          <w:lang w:eastAsia="pl-PL"/>
        </w:rPr>
        <w:t>enie skargi w placówce pocztowej operatora publicznego jest równoznaczne z jej wniesieniem.</w:t>
      </w:r>
    </w:p>
    <w:p w14:paraId="51716F97" w14:textId="77777777" w:rsidR="00EA33CE" w:rsidRPr="00EA33CE" w:rsidRDefault="00EA33CE" w:rsidP="00EA33CE">
      <w:pPr>
        <w:spacing w:after="120" w:line="260" w:lineRule="atLeast"/>
        <w:rPr>
          <w:rFonts w:asciiTheme="minorHAnsi" w:hAnsiTheme="minorHAnsi" w:cs="Times New Roman"/>
          <w:b/>
          <w:sz w:val="24"/>
          <w:szCs w:val="24"/>
          <w:u w:val="single"/>
        </w:rPr>
      </w:pPr>
    </w:p>
    <w:p w14:paraId="07D2E454" w14:textId="77777777" w:rsidR="00EA33CE" w:rsidRPr="00EA33CE" w:rsidRDefault="00EA33CE" w:rsidP="00EA33CE">
      <w:pPr>
        <w:pStyle w:val="Akapitzlist"/>
        <w:spacing w:after="0" w:line="240" w:lineRule="auto"/>
        <w:jc w:val="both"/>
        <w:rPr>
          <w:rFonts w:eastAsia="Times New Roman" w:cstheme="minorHAnsi"/>
          <w:bCs/>
          <w:kern w:val="36"/>
          <w:sz w:val="24"/>
          <w:szCs w:val="24"/>
          <w:lang w:eastAsia="pl-PL"/>
        </w:rPr>
      </w:pPr>
    </w:p>
    <w:p w14:paraId="408E1048" w14:textId="77777777" w:rsidR="00EA33CE" w:rsidRPr="00EA33CE" w:rsidRDefault="00EA33CE" w:rsidP="00EA33CE">
      <w:pPr>
        <w:rPr>
          <w:rFonts w:asciiTheme="minorHAnsi" w:hAnsiTheme="minorHAnsi"/>
        </w:rPr>
      </w:pPr>
    </w:p>
    <w:p w14:paraId="2513629D" w14:textId="77777777" w:rsidR="00EA33CE" w:rsidRPr="00EA33CE" w:rsidRDefault="00EA33CE" w:rsidP="00EA33CE">
      <w:pPr>
        <w:ind w:left="-567"/>
        <w:rPr>
          <w:rFonts w:asciiTheme="minorHAnsi" w:hAnsiTheme="minorHAnsi" w:cstheme="minorHAnsi"/>
          <w:sz w:val="24"/>
          <w:szCs w:val="24"/>
        </w:rPr>
      </w:pPr>
    </w:p>
    <w:sectPr w:rsidR="00EA33CE" w:rsidRPr="00EA33CE" w:rsidSect="009B3A9C">
      <w:headerReference w:type="default" r:id="rId12"/>
      <w:footerReference w:type="default" r:id="rId13"/>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AFBB6" w14:textId="77777777" w:rsidR="00DC7DF3" w:rsidRDefault="00DC7DF3" w:rsidP="00790505">
      <w:pPr>
        <w:spacing w:line="240" w:lineRule="auto"/>
      </w:pPr>
      <w:r>
        <w:separator/>
      </w:r>
    </w:p>
  </w:endnote>
  <w:endnote w:type="continuationSeparator" w:id="0">
    <w:p w14:paraId="716F3C04" w14:textId="77777777" w:rsidR="00DC7DF3" w:rsidRDefault="00DC7DF3"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Klavika Lt">
    <w:altName w:val="Times New Roman"/>
    <w:panose1 w:val="00000000000000000000"/>
    <w:charset w:val="00"/>
    <w:family w:val="modern"/>
    <w:notTrueType/>
    <w:pitch w:val="variable"/>
    <w:sig w:usb0="00000001"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2307" w14:textId="77777777"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14:anchorId="16FEE29D" wp14:editId="4B485183">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057EA9" w14:textId="77777777"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14:paraId="4DD8FF4C" w14:textId="77777777"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14:paraId="18C6E1A6" w14:textId="77777777" w:rsidR="004E1B22" w:rsidRPr="00477768" w:rsidRDefault="00DC7DF3" w:rsidP="004E1B22">
    <w:pPr>
      <w:pStyle w:val="Stopka"/>
      <w:tabs>
        <w:tab w:val="clear" w:pos="4536"/>
        <w:tab w:val="left" w:pos="2565"/>
        <w:tab w:val="left" w:pos="4395"/>
        <w:tab w:val="left" w:pos="6804"/>
      </w:tabs>
      <w:ind w:left="-284"/>
      <w:rPr>
        <w:rFonts w:ascii="Klavika Lt" w:hAnsi="Klavika Lt"/>
        <w:sz w:val="16"/>
        <w:szCs w:val="16"/>
      </w:rPr>
    </w:pPr>
  </w:p>
  <w:p w14:paraId="20CB6B62" w14:textId="77777777" w:rsidR="004E1B22" w:rsidRDefault="00DC7DF3" w:rsidP="004E1B22">
    <w:pPr>
      <w:pStyle w:val="Stopka"/>
      <w:tabs>
        <w:tab w:val="clear" w:pos="4536"/>
        <w:tab w:val="left" w:pos="2565"/>
        <w:tab w:val="left" w:pos="4395"/>
        <w:tab w:val="left" w:pos="6804"/>
      </w:tabs>
      <w:ind w:left="-284"/>
      <w:rPr>
        <w:rFonts w:ascii="Klavika Lt" w:hAnsi="Klavika Lt"/>
        <w:sz w:val="17"/>
        <w:szCs w:val="17"/>
      </w:rPr>
    </w:pPr>
  </w:p>
  <w:p w14:paraId="36E34C6B" w14:textId="77777777"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27C98" w14:textId="77777777" w:rsidR="00DC7DF3" w:rsidRDefault="00DC7DF3" w:rsidP="00790505">
      <w:pPr>
        <w:spacing w:line="240" w:lineRule="auto"/>
      </w:pPr>
      <w:r>
        <w:separator/>
      </w:r>
    </w:p>
  </w:footnote>
  <w:footnote w:type="continuationSeparator" w:id="0">
    <w:p w14:paraId="177B4E98" w14:textId="77777777" w:rsidR="00DC7DF3" w:rsidRDefault="00DC7DF3"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703A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21DC61FA" wp14:editId="1EA765F3">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 w15:restartNumberingAfterBreak="0">
    <w:nsid w:val="42EE7644"/>
    <w:multiLevelType w:val="hybridMultilevel"/>
    <w:tmpl w:val="9928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4"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096695"/>
    <w:multiLevelType w:val="hybridMultilevel"/>
    <w:tmpl w:val="4BB85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99B7B92"/>
    <w:multiLevelType w:val="hybridMultilevel"/>
    <w:tmpl w:val="CB7E5DE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25"/>
  </w:num>
  <w:num w:numId="2">
    <w:abstractNumId w:val="22"/>
  </w:num>
  <w:num w:numId="3">
    <w:abstractNumId w:val="13"/>
  </w:num>
  <w:num w:numId="4">
    <w:abstractNumId w:val="19"/>
  </w:num>
  <w:num w:numId="5">
    <w:abstractNumId w:val="4"/>
  </w:num>
  <w:num w:numId="6">
    <w:abstractNumId w:val="0"/>
  </w:num>
  <w:num w:numId="7">
    <w:abstractNumId w:val="10"/>
  </w:num>
  <w:num w:numId="8">
    <w:abstractNumId w:val="8"/>
  </w:num>
  <w:num w:numId="9">
    <w:abstractNumId w:val="9"/>
  </w:num>
  <w:num w:numId="10">
    <w:abstractNumId w:val="5"/>
  </w:num>
  <w:num w:numId="11">
    <w:abstractNumId w:val="6"/>
  </w:num>
  <w:num w:numId="12">
    <w:abstractNumId w:val="7"/>
  </w:num>
  <w:num w:numId="13">
    <w:abstractNumId w:val="20"/>
  </w:num>
  <w:num w:numId="14">
    <w:abstractNumId w:val="26"/>
  </w:num>
  <w:num w:numId="15">
    <w:abstractNumId w:val="2"/>
  </w:num>
  <w:num w:numId="16">
    <w:abstractNumId w:val="1"/>
  </w:num>
  <w:num w:numId="17">
    <w:abstractNumId w:val="16"/>
  </w:num>
  <w:num w:numId="18">
    <w:abstractNumId w:val="28"/>
  </w:num>
  <w:num w:numId="19">
    <w:abstractNumId w:val="12"/>
  </w:num>
  <w:num w:numId="20">
    <w:abstractNumId w:val="14"/>
  </w:num>
  <w:num w:numId="21">
    <w:abstractNumId w:val="18"/>
  </w:num>
  <w:num w:numId="22">
    <w:abstractNumId w:val="17"/>
  </w:num>
  <w:num w:numId="23">
    <w:abstractNumId w:val="30"/>
  </w:num>
  <w:num w:numId="24">
    <w:abstractNumId w:val="23"/>
  </w:num>
  <w:num w:numId="25">
    <w:abstractNumId w:val="3"/>
  </w:num>
  <w:num w:numId="26">
    <w:abstractNumId w:val="27"/>
  </w:num>
  <w:num w:numId="27">
    <w:abstractNumId w:val="21"/>
  </w:num>
  <w:num w:numId="28">
    <w:abstractNumId w:val="15"/>
  </w:num>
  <w:num w:numId="29">
    <w:abstractNumId w:val="11"/>
  </w:num>
  <w:num w:numId="30">
    <w:abstractNumId w:val="2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221C7"/>
    <w:rsid w:val="000B1242"/>
    <w:rsid w:val="001A32D1"/>
    <w:rsid w:val="00232DEE"/>
    <w:rsid w:val="00236EDB"/>
    <w:rsid w:val="002C242D"/>
    <w:rsid w:val="00381EF3"/>
    <w:rsid w:val="003D19C5"/>
    <w:rsid w:val="004D3276"/>
    <w:rsid w:val="00511C7D"/>
    <w:rsid w:val="0058413E"/>
    <w:rsid w:val="0062234E"/>
    <w:rsid w:val="00661247"/>
    <w:rsid w:val="006C77E1"/>
    <w:rsid w:val="00753559"/>
    <w:rsid w:val="00775DD1"/>
    <w:rsid w:val="00790505"/>
    <w:rsid w:val="007A7C97"/>
    <w:rsid w:val="007C4B87"/>
    <w:rsid w:val="008439CA"/>
    <w:rsid w:val="008828BC"/>
    <w:rsid w:val="008A24D1"/>
    <w:rsid w:val="0093645B"/>
    <w:rsid w:val="00982452"/>
    <w:rsid w:val="009E5906"/>
    <w:rsid w:val="00A17251"/>
    <w:rsid w:val="00A274F9"/>
    <w:rsid w:val="00AB636B"/>
    <w:rsid w:val="00AF7148"/>
    <w:rsid w:val="00B6247E"/>
    <w:rsid w:val="00B825B6"/>
    <w:rsid w:val="00B82A52"/>
    <w:rsid w:val="00B84DD9"/>
    <w:rsid w:val="00BF3E8B"/>
    <w:rsid w:val="00BF654E"/>
    <w:rsid w:val="00C25DDC"/>
    <w:rsid w:val="00C76952"/>
    <w:rsid w:val="00C93C3E"/>
    <w:rsid w:val="00CD4B0C"/>
    <w:rsid w:val="00CF2B17"/>
    <w:rsid w:val="00D01E90"/>
    <w:rsid w:val="00D27C34"/>
    <w:rsid w:val="00D3551C"/>
    <w:rsid w:val="00D82550"/>
    <w:rsid w:val="00DC7DF3"/>
    <w:rsid w:val="00E03A55"/>
    <w:rsid w:val="00E440AB"/>
    <w:rsid w:val="00E66817"/>
    <w:rsid w:val="00E811B0"/>
    <w:rsid w:val="00EA33CE"/>
    <w:rsid w:val="00ED21F7"/>
    <w:rsid w:val="00ED4161"/>
    <w:rsid w:val="00F45CC1"/>
    <w:rsid w:val="00FB580D"/>
    <w:rsid w:val="00FF1AA9"/>
    <w:rsid w:val="00FF3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0131A"/>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CF2B17"/>
    <w:rPr>
      <w:sz w:val="16"/>
      <w:szCs w:val="16"/>
    </w:rPr>
  </w:style>
  <w:style w:type="paragraph" w:styleId="Tekstkomentarza">
    <w:name w:val="annotation text"/>
    <w:basedOn w:val="Normalny"/>
    <w:link w:val="TekstkomentarzaZnak"/>
    <w:uiPriority w:val="99"/>
    <w:semiHidden/>
    <w:unhideWhenUsed/>
    <w:rsid w:val="00CF2B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2B17"/>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CF2B17"/>
    <w:rPr>
      <w:b/>
      <w:bCs/>
    </w:rPr>
  </w:style>
  <w:style w:type="character" w:customStyle="1" w:styleId="TematkomentarzaZnak">
    <w:name w:val="Temat komentarza Znak"/>
    <w:basedOn w:val="TekstkomentarzaZnak"/>
    <w:link w:val="Tematkomentarza"/>
    <w:uiPriority w:val="99"/>
    <w:semiHidden/>
    <w:rsid w:val="00CF2B17"/>
    <w:rPr>
      <w:rFonts w:ascii="Arial" w:eastAsia="Calibri" w:hAnsi="Arial" w:cs="Arial"/>
      <w:b/>
      <w:bCs/>
      <w:sz w:val="20"/>
      <w:szCs w:val="20"/>
    </w:rPr>
  </w:style>
  <w:style w:type="paragraph" w:styleId="Tekstdymka">
    <w:name w:val="Balloon Text"/>
    <w:basedOn w:val="Normalny"/>
    <w:link w:val="TekstdymkaZnak"/>
    <w:uiPriority w:val="99"/>
    <w:semiHidden/>
    <w:unhideWhenUsed/>
    <w:rsid w:val="00CF2B1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2B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6252</Words>
  <Characters>37517</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dcterms:created xsi:type="dcterms:W3CDTF">2020-02-13T12:11:00Z</dcterms:created>
  <dcterms:modified xsi:type="dcterms:W3CDTF">2020-02-13T13:29:00Z</dcterms:modified>
</cp:coreProperties>
</file>