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2D3DC0">
        <w:rPr>
          <w:b/>
        </w:rPr>
        <w:t xml:space="preserve">Umowa dostawę, montaż i uruchomienie </w:t>
      </w:r>
      <w:r w:rsidR="00846F8B" w:rsidRPr="002D3DC0">
        <w:rPr>
          <w:b/>
        </w:rPr>
        <w:t>stanowiska</w:t>
      </w:r>
      <w:r w:rsidR="006A6A15" w:rsidRPr="002D3DC0">
        <w:rPr>
          <w:b/>
        </w:rPr>
        <w:t xml:space="preserve"> do zgniatania baterii -</w:t>
      </w:r>
      <w:r w:rsidR="00846F8B" w:rsidRPr="002D3DC0">
        <w:rPr>
          <w:b/>
        </w:rPr>
        <w:t xml:space="preserve"> prasa hydrauliczna 100 </w:t>
      </w:r>
      <w:proofErr w:type="spellStart"/>
      <w:r w:rsidR="00846F8B" w:rsidRPr="002D3DC0">
        <w:rPr>
          <w:b/>
        </w:rPr>
        <w:t>kN</w:t>
      </w:r>
      <w:proofErr w:type="spellEnd"/>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rsidR="00DD606D">
        <w:t>a w dniu................... 2020</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2D3DC0" w:rsidP="004E360F">
      <w:pPr>
        <w:contextualSpacing/>
        <w:jc w:val="both"/>
        <w:rPr>
          <w:b/>
        </w:rPr>
      </w:pPr>
      <w:r w:rsidRPr="002D3DC0">
        <w:rPr>
          <w:b/>
        </w:rPr>
        <w:t>Siecią Badawczą Łukasiewicz –</w:t>
      </w:r>
      <w:r w:rsidR="004E360F" w:rsidRPr="007A70FC">
        <w:rPr>
          <w:b/>
        </w:rPr>
        <w:t>Instytutem Metali Nieżelaznych Oddział w Poznaniu</w:t>
      </w:r>
      <w:r w:rsidR="004E360F" w:rsidRPr="007A70FC">
        <w:t xml:space="preserve"> zwanym</w:t>
      </w:r>
      <w:r w:rsidR="004E360F" w:rsidRPr="00BF644E">
        <w:t xml:space="preserve"> dalej </w:t>
      </w:r>
      <w:r w:rsidR="004E360F" w:rsidRPr="00BF644E">
        <w:rPr>
          <w:b/>
        </w:rPr>
        <w:t>Zamawiającym</w:t>
      </w:r>
      <w:r w:rsidR="006A6A15">
        <w:t xml:space="preserve">, z siedzibą w Poznaniu: </w:t>
      </w:r>
      <w:r w:rsidR="004E360F" w:rsidRPr="007A70FC">
        <w:t>ul. Forteczna 12, 61-362 Poznań</w:t>
      </w:r>
      <w:r w:rsidR="004E360F" w:rsidRPr="00BF644E">
        <w:t>, NIP</w:t>
      </w:r>
      <w:r w:rsidR="004E360F">
        <w:t>:</w:t>
      </w:r>
      <w:r w:rsidR="004E360F" w:rsidRPr="00BF644E">
        <w:t xml:space="preserve"> </w:t>
      </w:r>
      <w:r w:rsidR="004E360F">
        <w:t>631-020-07-</w:t>
      </w:r>
      <w:r w:rsidR="004E360F" w:rsidRPr="007A70FC">
        <w:t>71</w:t>
      </w:r>
      <w:r w:rsidR="004E360F" w:rsidRPr="00BF644E">
        <w:t>, Regon</w:t>
      </w:r>
      <w:r w:rsidR="004E360F">
        <w:t>:</w:t>
      </w:r>
      <w:r w:rsidR="004E360F" w:rsidRPr="00BF644E">
        <w:t xml:space="preserve"> </w:t>
      </w:r>
      <w:r w:rsidR="004E360F" w:rsidRPr="00A87C81">
        <w:t>000027542</w:t>
      </w:r>
      <w:r w:rsidR="004E360F" w:rsidRPr="00BF644E">
        <w:t xml:space="preserve"> reprezentowany przez pana / panią Dyrektora / Zastępcę </w:t>
      </w:r>
      <w:r w:rsidR="004E360F"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2D3DC0"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w:t>
      </w:r>
      <w:r w:rsidRPr="002D3DC0">
        <w:t xml:space="preserve">Przetargowym do realizacji całości zamówienia, z którym Zamawiający zawiera Umowę na </w:t>
      </w:r>
      <w:r w:rsidRPr="002D3DC0">
        <w:rPr>
          <w:rFonts w:eastAsiaTheme="minorHAnsi"/>
          <w:color w:val="000000" w:themeColor="text1"/>
        </w:rPr>
        <w:t>dostawę, montaż i uruchomienie</w:t>
      </w:r>
      <w:r w:rsidRPr="002D3DC0">
        <w:rPr>
          <w:b/>
        </w:rPr>
        <w:t xml:space="preserv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sidRPr="002D3DC0">
        <w:rPr>
          <w:b/>
        </w:rPr>
        <w:t xml:space="preserve">Stanowisko  </w:t>
      </w:r>
      <w:r w:rsidRPr="002D3DC0">
        <w:t xml:space="preserve">– </w:t>
      </w:r>
      <w:r w:rsidR="00846F8B" w:rsidRPr="002D3DC0">
        <w:rPr>
          <w:rFonts w:eastAsiaTheme="minorHAnsi"/>
          <w:color w:val="000000" w:themeColor="text1"/>
        </w:rPr>
        <w:t>s</w:t>
      </w:r>
      <w:r w:rsidR="002D3DC0" w:rsidRPr="002D3DC0">
        <w:rPr>
          <w:rFonts w:eastAsiaTheme="minorHAnsi"/>
          <w:color w:val="000000" w:themeColor="text1"/>
        </w:rPr>
        <w:t>tanowisko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spełniające wymagania zawarte w OPZ, skonkretyzowane w Ofercie Wykonawcy</w:t>
      </w:r>
      <w:r w:rsidRPr="00BF644E">
        <w:t>,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w:t>
      </w:r>
      <w:r w:rsidRPr="002D3DC0">
        <w:rPr>
          <w:b/>
        </w:rPr>
        <w:t>etargowe</w:t>
      </w:r>
      <w:r w:rsidRPr="002D3DC0">
        <w:t xml:space="preserve"> – postępowanie na</w:t>
      </w:r>
      <w:r w:rsidRPr="002D3DC0">
        <w:rPr>
          <w:rFonts w:eastAsiaTheme="minorHAnsi"/>
          <w:b/>
          <w:color w:val="000000" w:themeColor="text1"/>
        </w:rPr>
        <w:t xml:space="preserve">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rPr>
          <w:rFonts w:eastAsiaTheme="minorHAnsi"/>
          <w:color w:val="000000" w:themeColor="text1"/>
        </w:rPr>
        <w:t>prowadzone przez Za</w:t>
      </w:r>
      <w:r w:rsidRPr="002D3DC0">
        <w:t>mawiającego.</w:t>
      </w:r>
      <w:r w:rsidRPr="00BF644E">
        <w:t xml:space="preserve">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t>
      </w:r>
      <w:r w:rsidRPr="002D3DC0">
        <w:rPr>
          <w:color w:val="000000"/>
        </w:rPr>
        <w:t xml:space="preserve">Wykonawcą a Zamawiającym, będąca wynikiem rozstrzygnięcia Postepowania Przetargowego na </w:t>
      </w:r>
      <w:r w:rsidR="002D3DC0" w:rsidRPr="002D3DC0">
        <w:rPr>
          <w:rFonts w:eastAsiaTheme="minorHAnsi"/>
          <w:color w:val="000000" w:themeColor="text1"/>
        </w:rPr>
        <w:t xml:space="preserve">dostawę, montaż i uruchomienie stanowiska do zgniatania baterii – prasa hydrauliczna 100 </w:t>
      </w:r>
      <w:proofErr w:type="spellStart"/>
      <w:r w:rsidR="002D3DC0" w:rsidRPr="002D3DC0">
        <w:rPr>
          <w:rFonts w:eastAsiaTheme="minorHAnsi"/>
          <w:color w:val="000000" w:themeColor="text1"/>
        </w:rPr>
        <w:t>kN</w:t>
      </w:r>
      <w:proofErr w:type="spellEnd"/>
      <w:r w:rsidRPr="002D3DC0">
        <w:t>, to jest postępow</w:t>
      </w:r>
      <w:r w:rsidRPr="002D3DC0">
        <w:rPr>
          <w:color w:val="000000"/>
        </w:rPr>
        <w:t xml:space="preserve">ania prowadzonego przez Zamawiającego pod numerem </w:t>
      </w:r>
      <w:r w:rsidR="000D67C1">
        <w:rPr>
          <w:color w:val="000000"/>
        </w:rPr>
        <w:t>5</w:t>
      </w:r>
      <w:r w:rsidR="00DD606D">
        <w:rPr>
          <w:color w:val="000000"/>
        </w:rPr>
        <w:t>/PN/2020</w:t>
      </w:r>
      <w:r w:rsidRPr="002D3DC0">
        <w:rPr>
          <w:color w:val="000000"/>
        </w:rPr>
        <w:t>;</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002D3DC0">
        <w:t xml:space="preserve"> ze zm.</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lastRenderedPageBreak/>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Podstawą zawarcia Umowy, jest wybór najk</w:t>
      </w:r>
      <w:r w:rsidRPr="002D3DC0">
        <w:rPr>
          <w:rFonts w:ascii="Arial" w:hAnsi="Arial" w:cs="Arial"/>
        </w:rPr>
        <w:t xml:space="preserve">orzystniejszej oferty, zwanej dalej Ofertą Wykonawcy w Postępowaniu Przetargowym, to jest postępowaniu o zamówienie publiczne nr </w:t>
      </w:r>
      <w:r w:rsidR="000D67C1">
        <w:rPr>
          <w:rFonts w:ascii="Arial" w:hAnsi="Arial" w:cs="Arial"/>
        </w:rPr>
        <w:t>5</w:t>
      </w:r>
      <w:r w:rsidR="00DD606D">
        <w:rPr>
          <w:rFonts w:ascii="Arial" w:hAnsi="Arial" w:cs="Arial"/>
        </w:rPr>
        <w:t>/</w:t>
      </w:r>
      <w:bookmarkStart w:id="0" w:name="_GoBack"/>
      <w:r w:rsidR="00DD606D">
        <w:rPr>
          <w:rFonts w:ascii="Arial" w:hAnsi="Arial" w:cs="Arial"/>
        </w:rPr>
        <w:t>PN</w:t>
      </w:r>
      <w:bookmarkEnd w:id="0"/>
      <w:r w:rsidR="00DD606D">
        <w:rPr>
          <w:rFonts w:ascii="Arial" w:hAnsi="Arial" w:cs="Arial"/>
        </w:rPr>
        <w:t>/2020</w:t>
      </w:r>
      <w:r w:rsidRPr="002D3DC0">
        <w:rPr>
          <w:rFonts w:ascii="Arial" w:hAnsi="Arial" w:cs="Arial"/>
        </w:rPr>
        <w:t xml:space="preserve"> na dostawę, montaż i uruchomienie </w:t>
      </w:r>
      <w:r w:rsidR="00846F8B" w:rsidRPr="002D3DC0">
        <w:rPr>
          <w:rFonts w:ascii="Arial" w:eastAsiaTheme="minorHAnsi" w:hAnsi="Arial" w:cs="Arial"/>
          <w:color w:val="000000" w:themeColor="text1"/>
        </w:rPr>
        <w:t>stanowiska</w:t>
      </w:r>
      <w:r w:rsidR="002D3DC0" w:rsidRPr="002D3DC0">
        <w:rPr>
          <w:rFonts w:ascii="Arial" w:eastAsiaTheme="minorHAnsi" w:hAnsi="Arial" w:cs="Arial"/>
          <w:color w:val="000000" w:themeColor="text1"/>
        </w:rPr>
        <w:t xml:space="preserve"> do zgniatania baterii –</w:t>
      </w:r>
      <w:r w:rsidR="00846F8B" w:rsidRPr="002D3DC0">
        <w:rPr>
          <w:rFonts w:ascii="Arial" w:eastAsiaTheme="minorHAnsi" w:hAnsi="Arial" w:cs="Arial"/>
          <w:color w:val="000000" w:themeColor="text1"/>
        </w:rPr>
        <w:t xml:space="preserve"> prasa hydrauliczna 100 </w:t>
      </w:r>
      <w:proofErr w:type="spellStart"/>
      <w:r w:rsidR="00846F8B" w:rsidRPr="002D3DC0">
        <w:rPr>
          <w:rFonts w:ascii="Arial" w:eastAsiaTheme="minorHAnsi" w:hAnsi="Arial" w:cs="Arial"/>
          <w:color w:val="000000" w:themeColor="text1"/>
        </w:rPr>
        <w:t>kN</w:t>
      </w:r>
      <w:proofErr w:type="spellEnd"/>
      <w:r w:rsidRPr="002D3DC0">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2D3DC0" w:rsidRDefault="004E360F" w:rsidP="004E360F">
      <w:pPr>
        <w:numPr>
          <w:ilvl w:val="0"/>
          <w:numId w:val="3"/>
        </w:numPr>
        <w:spacing w:after="160" w:line="300" w:lineRule="atLeast"/>
        <w:ind w:left="714" w:hanging="357"/>
        <w:contextualSpacing/>
        <w:jc w:val="both"/>
      </w:pPr>
      <w:r w:rsidRPr="00BF644E">
        <w:t xml:space="preserve">Przedmiotem Umowy jest dostawa w </w:t>
      </w:r>
      <w:r w:rsidRPr="002D3DC0">
        <w:t>rozumieniu ustawy Prawo zamówień publicznych (</w:t>
      </w:r>
      <w:proofErr w:type="spellStart"/>
      <w:r w:rsidRPr="002D3DC0">
        <w:t>Pzp</w:t>
      </w:r>
      <w:proofErr w:type="spellEnd"/>
      <w:r w:rsidRPr="002D3DC0">
        <w:t>) przez Wykonawcę do Zamawiającego  przedmiotu</w:t>
      </w:r>
      <w:r w:rsidRPr="002D3DC0">
        <w:rPr>
          <w:lang w:eastAsia="zh-CN"/>
        </w:rPr>
        <w:t xml:space="preserve">  Zamówienia, to jest </w:t>
      </w:r>
      <w:r w:rsidRPr="002D3DC0">
        <w:t xml:space="preserve">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rPr>
          <w:lang w:eastAsia="zh-CN"/>
        </w:rPr>
        <w:t xml:space="preserve">, wraz z wymaganym </w:t>
      </w:r>
      <w:r w:rsidRPr="002D3DC0">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2D3DC0">
        <w:t xml:space="preserve">Rodzaj, ilość, cena 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objęteg</w:t>
      </w:r>
      <w:r>
        <w:t>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AB53D1" w:rsidRDefault="004E360F" w:rsidP="004E360F">
      <w:pPr>
        <w:numPr>
          <w:ilvl w:val="0"/>
          <w:numId w:val="3"/>
        </w:numPr>
        <w:spacing w:after="160" w:line="300" w:lineRule="atLeast"/>
        <w:ind w:left="714" w:hanging="357"/>
        <w:contextualSpacing/>
        <w:jc w:val="both"/>
      </w:pPr>
      <w:r w:rsidRPr="00AB53D1">
        <w:lastRenderedPageBreak/>
        <w:t>Całość Przedmiotu Umowy dostarczona zostanie do Zamawiającego.</w:t>
      </w:r>
    </w:p>
    <w:p w:rsidR="004E360F" w:rsidRPr="002D3DC0"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w:t>
      </w:r>
      <w:r w:rsidRPr="002D3DC0">
        <w:t xml:space="preserve">podstawie Umowy Wykonawca zobowiązuje się dostarczyć, to jest sprzedać do Zamawiającego </w:t>
      </w:r>
      <w:r w:rsid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 xml:space="preserve">objętego Przedmiotem Umowy, a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 </w:t>
      </w:r>
      <w:r w:rsidR="00846F8B" w:rsidRPr="002D3DC0">
        <w:rPr>
          <w:rFonts w:eastAsiaTheme="minorHAnsi"/>
          <w:color w:val="000000" w:themeColor="text1"/>
        </w:rPr>
        <w:t xml:space="preserve">prasa hydrauliczna 100 </w:t>
      </w:r>
      <w:proofErr w:type="spellStart"/>
      <w:r w:rsidR="00846F8B" w:rsidRPr="002D3DC0">
        <w:rPr>
          <w:rFonts w:eastAsiaTheme="minorHAnsi"/>
          <w:color w:val="000000" w:themeColor="text1"/>
        </w:rPr>
        <w:t>kN</w:t>
      </w:r>
      <w:proofErr w:type="spellEnd"/>
      <w:r w:rsidR="00846F8B" w:rsidRPr="002D3DC0">
        <w:t xml:space="preserve">, </w:t>
      </w:r>
      <w:r w:rsidR="00257D05" w:rsidRPr="002D3DC0">
        <w:t>dostarczony</w:t>
      </w:r>
      <w:r w:rsidRPr="002D3DC0">
        <w:t xml:space="preserve"> zostanie do Zamawiającego.</w:t>
      </w:r>
    </w:p>
    <w:p w:rsidR="004E360F" w:rsidRPr="00BF644E" w:rsidRDefault="004E360F" w:rsidP="004E360F">
      <w:pPr>
        <w:numPr>
          <w:ilvl w:val="0"/>
          <w:numId w:val="3"/>
        </w:numPr>
        <w:spacing w:after="160" w:line="300" w:lineRule="atLeast"/>
        <w:ind w:left="714" w:hanging="357"/>
        <w:contextualSpacing/>
        <w:jc w:val="both"/>
      </w:pPr>
      <w:r w:rsidRPr="002D3DC0">
        <w:t xml:space="preserve">Objęte Przedmiotem Umowy </w:t>
      </w:r>
      <w:r w:rsidR="00846F8B" w:rsidRP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będzie fabrycznie nowe, nieużywane oraz nieeksponowane na wystawach lub imprezach targowych, nieeksponowan</w:t>
      </w:r>
      <w:r w:rsidRPr="00BF644E">
        <w:t xml:space="preserve">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w:t>
      </w:r>
      <w:r w:rsidRPr="002D3DC0">
        <w:t xml:space="preserve">Umowa, przy czym jako datę wyprodukowania uznaje się dzień, kiedy </w:t>
      </w:r>
      <w:r w:rsidR="002D3DC0" w:rsidRPr="002D3DC0">
        <w:rPr>
          <w:rFonts w:eastAsiaTheme="minorHAnsi"/>
          <w:color w:val="000000" w:themeColor="text1"/>
        </w:rPr>
        <w:t>S</w:t>
      </w:r>
      <w:r w:rsidR="00846F8B" w:rsidRPr="002D3DC0">
        <w:rPr>
          <w:rFonts w:eastAsiaTheme="minorHAnsi"/>
          <w:color w:val="000000" w:themeColor="text1"/>
        </w:rPr>
        <w:t>tanowisko</w:t>
      </w:r>
      <w:r w:rsidR="00846F8B" w:rsidRPr="002D3DC0">
        <w:t xml:space="preserve">, </w:t>
      </w:r>
      <w:r w:rsidRPr="002D3DC0">
        <w:t>uzyskał</w:t>
      </w:r>
      <w:r w:rsidR="002D3DC0" w:rsidRPr="002D3DC0">
        <w:t>o</w:t>
      </w:r>
      <w:r w:rsidRPr="002D3DC0">
        <w:t xml:space="preserve">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lastRenderedPageBreak/>
        <w:t xml:space="preserve">Dostawa zrealizowana będzie w </w:t>
      </w:r>
      <w:r w:rsidR="002D3DC0" w:rsidRPr="00AB53D1">
        <w:t>terminie do 10 miesięcy od dnia podpisania Umowy</w:t>
      </w:r>
      <w:r w:rsidR="004E360F" w:rsidRPr="00AB53D1">
        <w:t>. Dostawa realizowana będzie w godzinach pracy Zamawiającego, przy czym rozpoczęcie dostawy powinno nastąpić w takim</w:t>
      </w:r>
      <w:r w:rsidR="004E360F" w:rsidRPr="00BF644E">
        <w:t xml:space="preserve">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t>
      </w:r>
      <w:r w:rsidRPr="00BF644E">
        <w:lastRenderedPageBreak/>
        <w:t xml:space="preserve">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xml:space="preserve">, w tym zastosowane do ich </w:t>
      </w:r>
      <w:r w:rsidRPr="00BF644E">
        <w:lastRenderedPageBreak/>
        <w:t>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w:t>
      </w:r>
      <w:r w:rsidRPr="00BF644E">
        <w:lastRenderedPageBreak/>
        <w:t xml:space="preserve">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lastRenderedPageBreak/>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Zapłata Wyn</w:t>
      </w:r>
      <w:r w:rsidRPr="002D3DC0">
        <w:t>agrodzenia dokonywana będzie na rachunek bankowy Wykonawcy, którym jest ………</w:t>
      </w:r>
      <w:r w:rsidRPr="00BF644E">
        <w:t xml:space="preserve">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w:t>
      </w:r>
      <w:r w:rsidRPr="00BF644E">
        <w:lastRenderedPageBreak/>
        <w:t>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w:t>
      </w:r>
      <w:r w:rsidRPr="00BF644E">
        <w:lastRenderedPageBreak/>
        <w:t>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 xml:space="preserve">rządzenia i wszystko, co się na nie składa, narusza uzasadnione prawa osób trzecich, w tym </w:t>
      </w:r>
      <w:r w:rsidRPr="00BF644E">
        <w:rPr>
          <w:rFonts w:eastAsiaTheme="majorEastAsia"/>
          <w:color w:val="000000" w:themeColor="text1"/>
        </w:rPr>
        <w:lastRenderedPageBreak/>
        <w:t>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lastRenderedPageBreak/>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w:t>
      </w:r>
      <w:r w:rsidRPr="00BF644E">
        <w:rPr>
          <w:rFonts w:eastAsiaTheme="majorEastAsia"/>
          <w:bCs/>
          <w:iCs/>
          <w:color w:val="000000" w:themeColor="text1"/>
        </w:rPr>
        <w:lastRenderedPageBreak/>
        <w:t xml:space="preserve">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lastRenderedPageBreak/>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w:t>
      </w:r>
      <w:r w:rsidRPr="00BF644E">
        <w:rPr>
          <w:rFonts w:eastAsiaTheme="majorEastAsia"/>
          <w:bCs/>
          <w:iCs/>
          <w:color w:val="000000" w:themeColor="text1"/>
        </w:rPr>
        <w:lastRenderedPageBreak/>
        <w:t xml:space="preserve">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t>
      </w:r>
      <w:r w:rsidRPr="00BF644E">
        <w:rPr>
          <w:rFonts w:eastAsiaTheme="majorEastAsia"/>
          <w:bCs/>
          <w:iCs/>
          <w:color w:val="000000" w:themeColor="text1"/>
        </w:rPr>
        <w:lastRenderedPageBreak/>
        <w:t>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w:t>
      </w:r>
      <w:r w:rsidRPr="00BF644E">
        <w:rPr>
          <w:lang w:eastAsia="ar-SA"/>
        </w:rPr>
        <w:lastRenderedPageBreak/>
        <w:t xml:space="preserve">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w:t>
      </w:r>
      <w:r w:rsidRPr="00BF644E">
        <w:lastRenderedPageBreak/>
        <w:t xml:space="preserve">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lastRenderedPageBreak/>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t>
      </w:r>
      <w:r w:rsidRPr="00BF644E">
        <w:lastRenderedPageBreak/>
        <w:t xml:space="preserve">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w:t>
      </w:r>
      <w:r w:rsidRPr="00BF644E">
        <w:lastRenderedPageBreak/>
        <w:t xml:space="preserve">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w:t>
      </w:r>
      <w:r w:rsidRPr="00BF644E">
        <w:lastRenderedPageBreak/>
        <w:t xml:space="preserve">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t>
      </w:r>
      <w:r w:rsidRPr="00BF644E">
        <w:lastRenderedPageBreak/>
        <w:t>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lastRenderedPageBreak/>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r w:rsidRPr="00BF644E">
        <w:lastRenderedPageBreak/>
        <w:t xml:space="preserve">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lastRenderedPageBreak/>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6E7787" w:rsidRPr="004E360F" w:rsidRDefault="00E2292B"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2B" w:rsidRDefault="00E2292B" w:rsidP="00790505">
      <w:pPr>
        <w:spacing w:line="240" w:lineRule="auto"/>
      </w:pPr>
      <w:r>
        <w:separator/>
      </w:r>
    </w:p>
  </w:endnote>
  <w:endnote w:type="continuationSeparator" w:id="0">
    <w:p w:rsidR="00E2292B" w:rsidRDefault="00E2292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21" w:rsidRPr="001F4D7F" w:rsidRDefault="002E1F21" w:rsidP="002E1F21">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560D3"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2E1F21" w:rsidRDefault="00E2292B" w:rsidP="002E1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2B" w:rsidRDefault="00E2292B" w:rsidP="00790505">
      <w:pPr>
        <w:spacing w:line="240" w:lineRule="auto"/>
      </w:pPr>
      <w:r>
        <w:separator/>
      </w:r>
    </w:p>
  </w:footnote>
  <w:footnote w:type="continuationSeparator" w:id="0">
    <w:p w:rsidR="00E2292B" w:rsidRDefault="00E2292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0D67C1"/>
    <w:rsid w:val="001121D4"/>
    <w:rsid w:val="00257D05"/>
    <w:rsid w:val="002621C3"/>
    <w:rsid w:val="002C1D3D"/>
    <w:rsid w:val="002D3DC0"/>
    <w:rsid w:val="002E1F21"/>
    <w:rsid w:val="003624C9"/>
    <w:rsid w:val="00382E0C"/>
    <w:rsid w:val="003D392C"/>
    <w:rsid w:val="004E360F"/>
    <w:rsid w:val="00530E9B"/>
    <w:rsid w:val="005851CE"/>
    <w:rsid w:val="00601EAF"/>
    <w:rsid w:val="00632CAF"/>
    <w:rsid w:val="006A6A15"/>
    <w:rsid w:val="00790505"/>
    <w:rsid w:val="007C4B87"/>
    <w:rsid w:val="008439CA"/>
    <w:rsid w:val="00846F8B"/>
    <w:rsid w:val="0087633D"/>
    <w:rsid w:val="008828BC"/>
    <w:rsid w:val="0093645B"/>
    <w:rsid w:val="00AB53D1"/>
    <w:rsid w:val="00B825B6"/>
    <w:rsid w:val="00BA2E67"/>
    <w:rsid w:val="00BD6E4C"/>
    <w:rsid w:val="00BF3E8B"/>
    <w:rsid w:val="00C76952"/>
    <w:rsid w:val="00D27C34"/>
    <w:rsid w:val="00DD606D"/>
    <w:rsid w:val="00E03A55"/>
    <w:rsid w:val="00E2292B"/>
    <w:rsid w:val="00E66817"/>
    <w:rsid w:val="00EC0319"/>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F3D1"/>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11232</Words>
  <Characters>67393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6</cp:revision>
  <dcterms:created xsi:type="dcterms:W3CDTF">2019-10-18T08:49:00Z</dcterms:created>
  <dcterms:modified xsi:type="dcterms:W3CDTF">2020-03-26T08:24:00Z</dcterms:modified>
</cp:coreProperties>
</file>