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AA0D7E">
        <w:t>23.04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Pr="00C813EA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Laboratorium w celu zwiększenia zdolności badawczych na potrzeby rozwoju rynku motoryzacyjnego i </w:t>
      </w:r>
      <w:proofErr w:type="spellStart"/>
      <w:r w:rsidRPr="00D4444A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D4444A">
        <w:rPr>
          <w:rFonts w:asciiTheme="minorHAnsi" w:hAnsiTheme="minorHAnsi" w:cstheme="minorHAnsi"/>
          <w:sz w:val="24"/>
          <w:szCs w:val="24"/>
        </w:rPr>
        <w:t xml:space="preserve"> – rozbudowa budynku „D”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3508F" w:rsidRPr="00C813EA" w:rsidRDefault="0043508F" w:rsidP="0043508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3508F" w:rsidRPr="00D4444A" w:rsidRDefault="0043508F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3</w:t>
      </w:r>
      <w:r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508F" w:rsidRPr="00C813EA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Wyjaśnieni</w:t>
      </w: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813EA">
        <w:rPr>
          <w:rFonts w:asciiTheme="minorHAnsi" w:hAnsiTheme="minorHAnsi" w:cstheme="minorHAnsi"/>
          <w:b/>
          <w:sz w:val="24"/>
          <w:szCs w:val="24"/>
        </w:rPr>
        <w:t>oraz modyfikacja treści SIWZ.</w:t>
      </w:r>
    </w:p>
    <w:p w:rsidR="0043508F" w:rsidRPr="00C813EA" w:rsidRDefault="0043508F" w:rsidP="0043508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sz w:val="24"/>
          <w:szCs w:val="24"/>
        </w:rPr>
        <w:t xml:space="preserve">Zamawiający na podstawie art. 38 ust. 1, 2 oraz 4 ustawy z dnia 29 stycznia 2004 r. Prawo zamówień publicznych (tj. Dz.U. z 2019 r. poz. 1843), przekazuje treści zapytania wraz </w:t>
      </w:r>
      <w:r w:rsidRPr="003C5639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wyjaśnieniami oraz modyfikacją treści SIWZ: </w:t>
      </w: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43508F" w:rsidRPr="00C04BB0" w:rsidRDefault="0043508F" w:rsidP="00C04BB0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C5639">
        <w:rPr>
          <w:rFonts w:asciiTheme="minorHAnsi" w:hAnsiTheme="minorHAnsi" w:cstheme="minorHAnsi"/>
          <w:color w:val="000000" w:themeColor="text1"/>
        </w:rPr>
        <w:t xml:space="preserve">W dokumentacji : </w:t>
      </w:r>
      <w:r w:rsidR="003C5639">
        <w:rPr>
          <w:rFonts w:asciiTheme="minorHAnsi" w:hAnsiTheme="minorHAnsi" w:cstheme="minorHAnsi"/>
          <w:color w:val="000000" w:themeColor="text1"/>
        </w:rPr>
        <w:t>„</w:t>
      </w:r>
      <w:r w:rsidRPr="003C5639">
        <w:rPr>
          <w:rFonts w:asciiTheme="minorHAnsi" w:hAnsiTheme="minorHAnsi" w:cstheme="minorHAnsi"/>
          <w:color w:val="000000" w:themeColor="text1"/>
        </w:rPr>
        <w:t xml:space="preserve">W przypadku stwierdzenia (w trakcie robot ziemnych w projektowanym poziomie posadowienia ław i stop fundamentowych) występowanie gruntów nienośnych, to należy je wymienić na piasek zagęszczony </w:t>
      </w:r>
      <w:r w:rsidRPr="00C04BB0">
        <w:rPr>
          <w:rFonts w:asciiTheme="minorHAnsi" w:hAnsiTheme="minorHAnsi" w:cstheme="minorHAnsi"/>
        </w:rPr>
        <w:t xml:space="preserve">warstwami do </w:t>
      </w:r>
      <w:proofErr w:type="spellStart"/>
      <w:r w:rsidRPr="00C04BB0">
        <w:rPr>
          <w:rFonts w:asciiTheme="minorHAnsi" w:hAnsiTheme="minorHAnsi" w:cstheme="minorHAnsi"/>
        </w:rPr>
        <w:t>Is</w:t>
      </w:r>
      <w:proofErr w:type="spellEnd"/>
      <w:r w:rsidRPr="00C04BB0">
        <w:rPr>
          <w:rFonts w:asciiTheme="minorHAnsi" w:hAnsiTheme="minorHAnsi" w:cstheme="minorHAnsi"/>
        </w:rPr>
        <w:t>=0,97.” Czy w przypadku wystąpienie takiej sytuacji Inwestor przewiduje zwiększenie wynagrodzenia na rzecz Wykonawcy?</w:t>
      </w:r>
    </w:p>
    <w:p w:rsidR="00C04BB0" w:rsidRPr="00C04BB0" w:rsidRDefault="00C04BB0" w:rsidP="00C04BB0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508F" w:rsidRPr="00C04BB0" w:rsidRDefault="0043508F" w:rsidP="0043508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4BB0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:rsidR="003C5639" w:rsidRPr="00C04BB0" w:rsidRDefault="00C04BB0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4BB0">
        <w:rPr>
          <w:rFonts w:asciiTheme="minorHAnsi" w:hAnsiTheme="minorHAnsi" w:cstheme="minorHAnsi"/>
          <w:sz w:val="24"/>
          <w:szCs w:val="24"/>
        </w:rPr>
        <w:t xml:space="preserve">Tak, </w:t>
      </w:r>
      <w:r w:rsidR="003C5639" w:rsidRPr="00C04BB0">
        <w:rPr>
          <w:rFonts w:asciiTheme="minorHAnsi" w:hAnsiTheme="minorHAnsi" w:cstheme="minorHAnsi"/>
          <w:sz w:val="24"/>
          <w:szCs w:val="24"/>
        </w:rPr>
        <w:t>Zamawiający przewiduje zwiększeni</w:t>
      </w:r>
      <w:r w:rsidRPr="00C04BB0">
        <w:rPr>
          <w:rFonts w:asciiTheme="minorHAnsi" w:hAnsiTheme="minorHAnsi" w:cstheme="minorHAnsi"/>
          <w:sz w:val="24"/>
          <w:szCs w:val="24"/>
        </w:rPr>
        <w:t xml:space="preserve">e </w:t>
      </w:r>
      <w:r w:rsidR="003C5639" w:rsidRPr="00C04BB0">
        <w:rPr>
          <w:rFonts w:asciiTheme="minorHAnsi" w:hAnsiTheme="minorHAnsi" w:cstheme="minorHAnsi"/>
          <w:sz w:val="24"/>
          <w:szCs w:val="24"/>
        </w:rPr>
        <w:t>wynagrodzenia w takim przypadku</w:t>
      </w:r>
    </w:p>
    <w:p w:rsidR="003C5639" w:rsidRDefault="003C5639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 xml:space="preserve">STOPY POD SŁUPY : W jaki sposób kotwić stopy do istniejących ław? Przewidziano stopy przylegające do istniejących ław – jakie szerokie są ławy? Słupy będą na krawędzi stopy lub wypadną na łączeniu stopa-ława. W OT : Fundament dla nowej części budynku należy wykonać </w:t>
      </w:r>
      <w:r w:rsidRPr="003C5639">
        <w:rPr>
          <w:rFonts w:asciiTheme="minorHAnsi" w:hAnsiTheme="minorHAnsi" w:cstheme="minorHAnsi"/>
          <w:color w:val="000000" w:themeColor="text1"/>
        </w:rPr>
        <w:lastRenderedPageBreak/>
        <w:t xml:space="preserve">schodkowo – by dostosować posadowienie nowej części do fundamentów istniejących. Fundamenty istniejące i nowoprojektowane </w:t>
      </w:r>
      <w:proofErr w:type="spellStart"/>
      <w:r w:rsidRPr="003C5639">
        <w:rPr>
          <w:rFonts w:asciiTheme="minorHAnsi" w:hAnsiTheme="minorHAnsi" w:cstheme="minorHAnsi"/>
          <w:color w:val="000000" w:themeColor="text1"/>
        </w:rPr>
        <w:t>oddylatywać</w:t>
      </w:r>
      <w:proofErr w:type="spellEnd"/>
      <w:r w:rsidRPr="003C5639">
        <w:rPr>
          <w:rFonts w:asciiTheme="minorHAnsi" w:hAnsiTheme="minorHAnsi" w:cstheme="minorHAnsi"/>
          <w:color w:val="000000" w:themeColor="text1"/>
        </w:rPr>
        <w:t xml:space="preserve">.” Stopy </w:t>
      </w:r>
      <w:proofErr w:type="spellStart"/>
      <w:r w:rsidRPr="003C5639">
        <w:rPr>
          <w:rFonts w:asciiTheme="minorHAnsi" w:hAnsiTheme="minorHAnsi" w:cstheme="minorHAnsi"/>
          <w:color w:val="000000" w:themeColor="text1"/>
        </w:rPr>
        <w:t>oddylatować</w:t>
      </w:r>
      <w:proofErr w:type="spellEnd"/>
      <w:r w:rsidRPr="003C5639">
        <w:rPr>
          <w:rFonts w:asciiTheme="minorHAnsi" w:hAnsiTheme="minorHAnsi" w:cstheme="minorHAnsi"/>
          <w:color w:val="000000" w:themeColor="text1"/>
        </w:rPr>
        <w:t xml:space="preserve"> czy zakotwić?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Zbrojenie stóp wkleić na żywicę (do wklejania zbrojenia) w istniejącą ławę zgodnie z rysunkiem K04. Stóp nie </w:t>
      </w:r>
      <w:proofErr w:type="spellStart"/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>dylatować</w:t>
      </w:r>
      <w:proofErr w:type="spellEnd"/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tylko zakotwić do istniejących ław.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3: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 xml:space="preserve">Głębokość posadowienia w opisie 1,1 m i rys konstrukcji ,a na rysunkach </w:t>
      </w:r>
      <w:proofErr w:type="spellStart"/>
      <w:r w:rsidRPr="003C5639">
        <w:rPr>
          <w:rFonts w:asciiTheme="minorHAnsi" w:hAnsiTheme="minorHAnsi" w:cstheme="minorHAnsi"/>
          <w:color w:val="000000" w:themeColor="text1"/>
        </w:rPr>
        <w:t>arch</w:t>
      </w:r>
      <w:proofErr w:type="spellEnd"/>
      <w:r w:rsidRPr="003C5639">
        <w:rPr>
          <w:rFonts w:asciiTheme="minorHAnsi" w:hAnsiTheme="minorHAnsi" w:cstheme="minorHAnsi"/>
          <w:color w:val="000000" w:themeColor="text1"/>
        </w:rPr>
        <w:t xml:space="preserve"> 1,2 m - rozbieżność.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5639">
        <w:rPr>
          <w:rFonts w:asciiTheme="minorHAnsi" w:hAnsiTheme="minorHAnsi" w:cstheme="minorHAnsi"/>
          <w:sz w:val="24"/>
          <w:szCs w:val="24"/>
        </w:rPr>
        <w:t>Należy przyjąć 1,1m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4: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Wykopów jest 115 m3, a wywozu 15 m3 – czy grunt wbudowujemy?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>Założono grunty kat. I-II, grunt do wbudowania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5: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Płyty betonowe z rozbiórki do odzysku czy jako gruz do wywozu?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>Płyty do odzysku, składowanie na terenie Zamawiającego</w:t>
      </w: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6: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Wykończenie ścian zew. – tynki ciepłochronne zew. wymagają min. grubości 35 mm , a założono 10 mm. Na rysunku elewacji tynk opisano jako cienkowarstwowy akrylowy.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Należy przyjąć tynk ciepłochronny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7: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Założono mniejszą powierzchnię ocieploną wełną niż jest w rzeczywistości – nie uwzględniono ścian bocznych.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Zgodnie z opisem „ściany oddzielenia przeciwpożarowego - REI 60, (ocieplenie wykonać za pomocą wełny mineralnej)” – dotyczy ściany przeciwpożarowej – pozycja 16. (12,56+1+1,35)*4,7-3,59*2,12-1,2*2*2 = 57,666</w:t>
      </w:r>
    </w:p>
    <w:p w:rsidR="0043508F" w:rsidRPr="003C5639" w:rsidRDefault="0043508F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8: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W jaki sposób wykończyć styk trzpienia żelbetowego z ociepleniem z wełny mineralnej? Czy przewidziano dylatacje systemowe?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Tak, należy wykonać dylatację systemową</w:t>
      </w:r>
    </w:p>
    <w:p w:rsidR="00545379" w:rsidRPr="003C5639" w:rsidRDefault="00545379" w:rsidP="0054537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9: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Czy świetlik dachowy składający się z 4 segmentów ma być otwierany ręcznie poprzez demontaż segmentów i odkładanie ich na bok? Czy segmenty mają „przejeżdżać w bok na szynie i układać się jeden na drugim? Proszę o opis systemu otwierania świetlika.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C04BB0" w:rsidRDefault="0043508F" w:rsidP="0043508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4BB0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:rsidR="0043508F" w:rsidRPr="00C04BB0" w:rsidRDefault="00C04BB0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4BB0">
        <w:rPr>
          <w:rFonts w:asciiTheme="minorHAnsi" w:hAnsiTheme="minorHAnsi" w:cstheme="minorHAnsi"/>
        </w:rPr>
        <w:t xml:space="preserve">Tak, </w:t>
      </w:r>
      <w:r w:rsidRPr="00C04BB0">
        <w:rPr>
          <w:rFonts w:asciiTheme="minorHAnsi" w:hAnsiTheme="minorHAnsi" w:cstheme="minorHAnsi"/>
        </w:rPr>
        <w:t xml:space="preserve">świetlik dachowy </w:t>
      </w:r>
      <w:r w:rsidRPr="00C04BB0">
        <w:rPr>
          <w:rFonts w:asciiTheme="minorHAnsi" w:hAnsiTheme="minorHAnsi" w:cstheme="minorHAnsi"/>
        </w:rPr>
        <w:t xml:space="preserve">ma się </w:t>
      </w:r>
      <w:r w:rsidRPr="00C04BB0">
        <w:rPr>
          <w:rFonts w:asciiTheme="minorHAnsi" w:hAnsiTheme="minorHAnsi" w:cstheme="minorHAnsi"/>
        </w:rPr>
        <w:t>składa</w:t>
      </w:r>
      <w:r w:rsidRPr="00C04BB0">
        <w:rPr>
          <w:rFonts w:asciiTheme="minorHAnsi" w:hAnsiTheme="minorHAnsi" w:cstheme="minorHAnsi"/>
        </w:rPr>
        <w:t xml:space="preserve">ć z 4 segmentów, </w:t>
      </w:r>
      <w:r w:rsidRPr="00C04BB0">
        <w:rPr>
          <w:rFonts w:asciiTheme="minorHAnsi" w:hAnsiTheme="minorHAnsi" w:cstheme="minorHAnsi"/>
        </w:rPr>
        <w:t>otwierany ręcznie poprzez demontaż segmentów i odkładanie ich na bok</w:t>
      </w:r>
      <w:r w:rsidRPr="00C04BB0">
        <w:rPr>
          <w:rFonts w:asciiTheme="minorHAnsi" w:hAnsiTheme="minorHAnsi" w:cstheme="minorHAnsi"/>
        </w:rPr>
        <w:t>. W</w:t>
      </w:r>
      <w:r w:rsidR="0043508F" w:rsidRPr="00C04BB0">
        <w:rPr>
          <w:rFonts w:asciiTheme="minorHAnsi" w:hAnsiTheme="minorHAnsi" w:cstheme="minorHAnsi"/>
        </w:rPr>
        <w:t xml:space="preserve"> projekcie przyjęto rozwiązanie otwierania ręczn</w:t>
      </w:r>
      <w:r w:rsidRPr="00C04BB0">
        <w:rPr>
          <w:rFonts w:asciiTheme="minorHAnsi" w:hAnsiTheme="minorHAnsi" w:cstheme="minorHAnsi"/>
        </w:rPr>
        <w:t>ego</w:t>
      </w:r>
      <w:r w:rsidR="0043508F" w:rsidRPr="00C04BB0">
        <w:rPr>
          <w:rFonts w:asciiTheme="minorHAnsi" w:hAnsiTheme="minorHAnsi" w:cstheme="minorHAnsi"/>
        </w:rPr>
        <w:t xml:space="preserve"> stąd poręcze i drabinka na dachu. </w:t>
      </w:r>
    </w:p>
    <w:p w:rsidR="0043508F" w:rsidRPr="003C5639" w:rsidRDefault="0043508F" w:rsidP="0054537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10: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Okna O1 (istniejące) zmniejszenie otworu i wymiana okien na mniejsze – brak robót i stolarki w przedmiarze.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 xml:space="preserve">Okno O1 jest w zakresie. Musi być zmniejszone ze </w:t>
      </w:r>
      <w:proofErr w:type="spellStart"/>
      <w:r w:rsidRPr="003C5639">
        <w:rPr>
          <w:rFonts w:asciiTheme="minorHAnsi" w:hAnsiTheme="minorHAnsi" w:cstheme="minorHAnsi"/>
          <w:color w:val="000000" w:themeColor="text1"/>
        </w:rPr>
        <w:t>wzgl</w:t>
      </w:r>
      <w:proofErr w:type="spellEnd"/>
      <w:r w:rsidRPr="003C5639">
        <w:rPr>
          <w:rFonts w:asciiTheme="minorHAnsi" w:hAnsiTheme="minorHAnsi" w:cstheme="minorHAnsi"/>
          <w:color w:val="000000" w:themeColor="text1"/>
        </w:rPr>
        <w:t xml:space="preserve"> ppoż. Okna PVC o parametrach współczynnika przenikania ciepła U = &lt;=0,9 W/m2K,  uchylane.</w:t>
      </w: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11: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 xml:space="preserve">Nawierzchnia placu – czy </w:t>
      </w:r>
      <w:r w:rsidRPr="00C04BB0">
        <w:rPr>
          <w:rFonts w:asciiTheme="minorHAnsi" w:hAnsiTheme="minorHAnsi" w:cstheme="minorHAnsi"/>
        </w:rPr>
        <w:t xml:space="preserve">przewidziano warstwy odsączające i podbudowę </w:t>
      </w:r>
      <w:r w:rsidRPr="003C5639">
        <w:rPr>
          <w:rFonts w:asciiTheme="minorHAnsi" w:hAnsiTheme="minorHAnsi" w:cstheme="minorHAnsi"/>
          <w:color w:val="000000" w:themeColor="text1"/>
        </w:rPr>
        <w:t>, czy nie ma takiej potrzeby.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Default="003C5639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C5639">
        <w:rPr>
          <w:rFonts w:asciiTheme="minorHAnsi" w:hAnsiTheme="minorHAnsi" w:cstheme="minorHAnsi"/>
          <w:color w:val="000000" w:themeColor="text1"/>
        </w:rPr>
        <w:t>Nawierzchnia placu – p</w:t>
      </w:r>
      <w:r w:rsidR="0043508F" w:rsidRPr="003C5639">
        <w:rPr>
          <w:rFonts w:asciiTheme="minorHAnsi" w:hAnsiTheme="minorHAnsi" w:cstheme="minorHAnsi"/>
          <w:color w:val="000000" w:themeColor="text1"/>
        </w:rPr>
        <w:t xml:space="preserve">odbudowa </w:t>
      </w:r>
      <w:r w:rsidRPr="003C5639">
        <w:rPr>
          <w:rFonts w:asciiTheme="minorHAnsi" w:hAnsiTheme="minorHAnsi" w:cstheme="minorHAnsi"/>
          <w:color w:val="000000" w:themeColor="text1"/>
        </w:rPr>
        <w:t>winna uwzględniać r</w:t>
      </w:r>
      <w:r w:rsidR="0043508F" w:rsidRPr="003C5639">
        <w:rPr>
          <w:rFonts w:asciiTheme="minorHAnsi" w:hAnsiTheme="minorHAnsi" w:cstheme="minorHAnsi"/>
          <w:color w:val="000000" w:themeColor="text1"/>
        </w:rPr>
        <w:t xml:space="preserve">uch pojazdami transportu bliskiego (wózek widłowy z obciążeniem, masa całkowita </w:t>
      </w:r>
      <w:r w:rsidRPr="003C5639">
        <w:rPr>
          <w:rFonts w:asciiTheme="minorHAnsi" w:hAnsiTheme="minorHAnsi" w:cstheme="minorHAnsi"/>
          <w:color w:val="000000" w:themeColor="text1"/>
        </w:rPr>
        <w:t>do</w:t>
      </w:r>
      <w:r w:rsidR="0043508F" w:rsidRPr="003C5639">
        <w:rPr>
          <w:rFonts w:asciiTheme="minorHAnsi" w:hAnsiTheme="minorHAnsi" w:cstheme="minorHAnsi"/>
          <w:color w:val="000000" w:themeColor="text1"/>
        </w:rPr>
        <w:t xml:space="preserve"> 4500 kg)</w:t>
      </w:r>
      <w:r w:rsidRPr="003C5639">
        <w:rPr>
          <w:rFonts w:asciiTheme="minorHAnsi" w:hAnsiTheme="minorHAnsi" w:cstheme="minorHAnsi"/>
          <w:color w:val="000000" w:themeColor="text1"/>
        </w:rPr>
        <w:t>.</w:t>
      </w:r>
    </w:p>
    <w:p w:rsidR="00452DD1" w:rsidRDefault="00452DD1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52DD1" w:rsidRPr="003C5639" w:rsidRDefault="00452DD1" w:rsidP="00452DD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Pytanie 12</w:t>
      </w: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452DD1" w:rsidRPr="003C5639" w:rsidRDefault="00452DD1" w:rsidP="00452DD1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52DD1">
        <w:rPr>
          <w:rFonts w:asciiTheme="minorHAnsi" w:hAnsiTheme="minorHAnsi" w:cstheme="minorHAnsi"/>
          <w:color w:val="000000" w:themeColor="text1"/>
        </w:rPr>
        <w:t>Z czego mają zostać wykonane nasypy – czy z gruntu rodzimego?</w:t>
      </w:r>
    </w:p>
    <w:p w:rsidR="00452DD1" w:rsidRPr="003C5639" w:rsidRDefault="00452DD1" w:rsidP="00452DD1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52DD1" w:rsidRPr="003C5639" w:rsidRDefault="00452DD1" w:rsidP="00452DD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52DD1" w:rsidRDefault="00452DD1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dopuszcza na początku użycie </w:t>
      </w:r>
      <w:r w:rsidRPr="00452DD1">
        <w:rPr>
          <w:rFonts w:asciiTheme="minorHAnsi" w:hAnsiTheme="minorHAnsi" w:cstheme="minorHAnsi"/>
        </w:rPr>
        <w:t>gruntu rodzimego oraz następnie piasku</w:t>
      </w:r>
      <w:r w:rsidRPr="00452DD1">
        <w:t>.</w:t>
      </w:r>
    </w:p>
    <w:p w:rsidR="00452DD1" w:rsidRPr="003C5639" w:rsidRDefault="00452DD1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52DD1" w:rsidRPr="003C5639" w:rsidRDefault="00452DD1" w:rsidP="00452DD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13</w:t>
      </w: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452DD1" w:rsidRPr="00452DD1" w:rsidRDefault="00452DD1" w:rsidP="00452DD1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452DD1">
        <w:rPr>
          <w:rFonts w:asciiTheme="minorHAnsi" w:hAnsiTheme="minorHAnsi" w:cstheme="minorHAnsi"/>
          <w:color w:val="000000" w:themeColor="text1"/>
        </w:rPr>
        <w:t>W specyfikacji przedmiotu zamówienia, w opisie projektu i przedmiarze występują instalacje elektryczne, natomiast w załączonej dokumentacji nie ma rysunków i opisu branżowego.</w:t>
      </w:r>
      <w:r w:rsidRPr="00452DD1">
        <w:rPr>
          <w:rFonts w:asciiTheme="minorHAnsi" w:hAnsiTheme="minorHAnsi" w:cstheme="minorHAnsi"/>
          <w:color w:val="000000" w:themeColor="text1"/>
        </w:rPr>
        <w:br/>
        <w:t>Prosimy o uzupełnienie dokumentacji o opis i rysunki projektów branżowych instalacji elektrycznej i teletechnicznej.</w:t>
      </w:r>
    </w:p>
    <w:p w:rsidR="00452DD1" w:rsidRPr="003C5639" w:rsidRDefault="00452DD1" w:rsidP="00452DD1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52DD1" w:rsidRPr="003C5639" w:rsidRDefault="00452DD1" w:rsidP="00452DD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43508F" w:rsidRPr="003C5639" w:rsidRDefault="00452DD1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52DD1">
        <w:rPr>
          <w:rFonts w:asciiTheme="minorHAnsi" w:hAnsiTheme="minorHAnsi" w:cstheme="minorHAnsi"/>
          <w:color w:val="000000" w:themeColor="text1"/>
        </w:rPr>
        <w:t>W załącz</w:t>
      </w:r>
      <w:r>
        <w:rPr>
          <w:rFonts w:asciiTheme="minorHAnsi" w:hAnsiTheme="minorHAnsi" w:cstheme="minorHAnsi"/>
          <w:color w:val="000000" w:themeColor="text1"/>
        </w:rPr>
        <w:t xml:space="preserve">eniu Zamawiający </w:t>
      </w:r>
      <w:r w:rsidRPr="00452DD1">
        <w:rPr>
          <w:rFonts w:asciiTheme="minorHAnsi" w:hAnsiTheme="minorHAnsi" w:cstheme="minorHAnsi"/>
          <w:color w:val="000000" w:themeColor="text1"/>
        </w:rPr>
        <w:t>przesyła projekt instalacji elektrycznej</w:t>
      </w: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90DEC" w:rsidRPr="003C5639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3C5639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Ponadto z</w:t>
      </w:r>
      <w:r w:rsidR="00BF7CED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56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3C5639" w:rsidRPr="003B2386" w:rsidRDefault="003C5639" w:rsidP="003C5639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 kwietnia 2020 r., do godz. 13:30.</w:t>
      </w:r>
    </w:p>
    <w:p w:rsidR="003C5639" w:rsidRPr="003B2386" w:rsidRDefault="003C5639" w:rsidP="003C5639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w celu zwiększenia zdolności badawczych na potrzeby rozwoju rynku motoryzacyjnego i </w:t>
      </w:r>
      <w:proofErr w:type="spellStart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elektromobilności</w:t>
      </w:r>
      <w:proofErr w:type="spellEnd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– rozbudowa budynku „D”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- 3/PN/2020 </w:t>
      </w:r>
    </w:p>
    <w:p w:rsidR="003C5639" w:rsidRPr="003B2386" w:rsidRDefault="003C5639" w:rsidP="003C5639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 29 kwietnia 2020 r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3C5639" w:rsidRPr="003B2386" w:rsidRDefault="003C5639" w:rsidP="003C5639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29 kwietnia 2020 r. o godz. 14:30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3C5639" w:rsidRPr="003B2386" w:rsidRDefault="003C5639" w:rsidP="003C5639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3C5639" w:rsidRPr="003B2386" w:rsidRDefault="003C5639" w:rsidP="003C5639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3C5639" w:rsidRPr="003B2386" w:rsidRDefault="003C5639" w:rsidP="003C5639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w celu zwiększenia zdolności badawczych na potrzeby rozwoju rynku motoryzacyjnego i </w:t>
      </w:r>
      <w:proofErr w:type="spellStart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elektromobilności</w:t>
      </w:r>
      <w:proofErr w:type="spellEnd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– rozbudowa budynku „D”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- 3/PN/2020 </w:t>
      </w:r>
    </w:p>
    <w:p w:rsidR="003C5639" w:rsidRPr="003B2386" w:rsidRDefault="003C5639" w:rsidP="003C5639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14:30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3C5639" w:rsidRPr="003B2386" w:rsidRDefault="003C5639" w:rsidP="003C5639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3C5639" w:rsidRPr="003B2386" w:rsidRDefault="003C5639" w:rsidP="003C5639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Pr="00167814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F823F9" w:rsidRDefault="001F48FD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24</w:t>
      </w:r>
      <w:r w:rsidR="00545379">
        <w:rPr>
          <w:rFonts w:ascii="Arial" w:hAnsi="Arial" w:cs="Arial"/>
        </w:rPr>
        <w:t>.03</w:t>
      </w:r>
      <w:r w:rsidR="00F823F9" w:rsidRPr="00167814">
        <w:rPr>
          <w:rFonts w:ascii="Arial" w:hAnsi="Arial" w:cs="Arial"/>
        </w:rPr>
        <w:t>.20</w:t>
      </w:r>
    </w:p>
    <w:p w:rsidR="00452DD1" w:rsidRPr="00452DD1" w:rsidRDefault="00452DD1" w:rsidP="00452DD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52DD1">
        <w:rPr>
          <w:rFonts w:ascii="Arial" w:hAnsi="Arial" w:cs="Arial"/>
        </w:rPr>
        <w:t>projekt instalacji elektrycznej</w:t>
      </w:r>
    </w:p>
    <w:p w:rsidR="00452DD1" w:rsidRPr="00167814" w:rsidRDefault="00452DD1" w:rsidP="00F823F9">
      <w:pPr>
        <w:pStyle w:val="Bezodstpw"/>
        <w:jc w:val="both"/>
        <w:rPr>
          <w:rFonts w:ascii="Arial" w:hAnsi="Arial" w:cs="Arial"/>
        </w:rPr>
      </w:pP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7C" w:rsidRDefault="006E437C" w:rsidP="00790505">
      <w:pPr>
        <w:spacing w:line="240" w:lineRule="auto"/>
      </w:pPr>
      <w:r>
        <w:separator/>
      </w:r>
    </w:p>
  </w:endnote>
  <w:endnote w:type="continuationSeparator" w:id="0">
    <w:p w:rsidR="006E437C" w:rsidRDefault="006E437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E437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E437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7C" w:rsidRDefault="006E437C" w:rsidP="00790505">
      <w:pPr>
        <w:spacing w:line="240" w:lineRule="auto"/>
      </w:pPr>
      <w:r>
        <w:separator/>
      </w:r>
    </w:p>
  </w:footnote>
  <w:footnote w:type="continuationSeparator" w:id="0">
    <w:p w:rsidR="006E437C" w:rsidRDefault="006E437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ED624A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68D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2020-04-23T09:30:00Z</dcterms:created>
  <dcterms:modified xsi:type="dcterms:W3CDTF">2020-04-23T10:28:00Z</dcterms:modified>
</cp:coreProperties>
</file>